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default" w:ascii="方正小标宋简体" w:eastAsia="方正小标宋简体"/>
          <w:color w:val="FF0000"/>
          <w:sz w:val="44"/>
          <w:szCs w:val="44"/>
          <w:lang w:val="en-US" w:eastAsia="zh-CN"/>
        </w:rPr>
      </w:pPr>
      <w:r>
        <w:rPr>
          <w:rFonts w:hint="eastAsia" w:ascii="方正小标宋简体" w:eastAsia="方正小标宋简体"/>
          <w:sz w:val="44"/>
          <w:szCs w:val="44"/>
        </w:rPr>
        <w:t>资阳市</w:t>
      </w:r>
      <w:r>
        <w:rPr>
          <w:rFonts w:hint="eastAsia" w:ascii="方正小标宋简体" w:eastAsia="方正小标宋简体"/>
          <w:sz w:val="44"/>
          <w:szCs w:val="44"/>
          <w:lang w:eastAsia="zh-CN"/>
        </w:rPr>
        <w:t>雁江区</w:t>
      </w:r>
      <w:r>
        <w:rPr>
          <w:rFonts w:hint="eastAsia" w:ascii="方正小标宋简体" w:eastAsia="方正小标宋简体"/>
          <w:sz w:val="44"/>
          <w:szCs w:val="44"/>
          <w:lang w:val="en-US" w:eastAsia="zh-CN"/>
        </w:rPr>
        <w:t>商务局</w:t>
      </w:r>
    </w:p>
    <w:p>
      <w:pPr>
        <w:spacing w:line="60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24</w:t>
      </w:r>
      <w:r>
        <w:rPr>
          <w:rFonts w:hint="eastAsia" w:ascii="方正小标宋简体" w:eastAsia="方正小标宋简体"/>
          <w:sz w:val="44"/>
          <w:szCs w:val="44"/>
        </w:rPr>
        <w:t>年单位预算编制说明</w:t>
      </w:r>
    </w:p>
    <w:p>
      <w:pPr>
        <w:spacing w:line="600" w:lineRule="exact"/>
        <w:ind w:firstLine="880" w:firstLineChars="200"/>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目 录</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宋体"/>
          <w:sz w:val="33"/>
          <w:szCs w:val="33"/>
          <w:lang w:eastAsia="zh-CN"/>
        </w:rPr>
      </w:pPr>
      <w:r>
        <w:rPr>
          <w:rFonts w:hint="eastAsia" w:ascii="方正楷体_GBK" w:hAnsi="方正楷体_GBK" w:eastAsia="方正楷体_GBK" w:cs="方正楷体_GBK"/>
          <w:b/>
          <w:bCs/>
          <w:sz w:val="33"/>
          <w:szCs w:val="33"/>
        </w:rPr>
        <w:t>一、基本职能及主要工作</w:t>
      </w:r>
      <w:r>
        <w:rPr>
          <w:rFonts w:hint="eastAsia" w:ascii="方正楷体_GBK" w:hAnsi="方正楷体_GBK" w:eastAsia="方正楷体_GBK" w:cs="宋体"/>
          <w:sz w:val="33"/>
          <w:szCs w:val="33"/>
        </w:rPr>
        <w:t>…………………………………</w:t>
      </w:r>
      <w:r>
        <w:rPr>
          <w:rFonts w:hint="eastAsia" w:ascii="方正楷体_GBK" w:hAnsi="方正楷体_GBK" w:eastAsia="方正楷体_GBK" w:cs="宋体"/>
          <w:sz w:val="33"/>
          <w:szCs w:val="33"/>
          <w:lang w:val="en-US" w:eastAsia="zh-CN"/>
        </w:rPr>
        <w:t>1</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宋体"/>
          <w:sz w:val="33"/>
          <w:szCs w:val="33"/>
          <w:lang w:val="en-US" w:eastAsia="zh-CN"/>
        </w:rPr>
      </w:pPr>
      <w:r>
        <w:rPr>
          <w:rFonts w:hint="eastAsia" w:ascii="方正仿宋_GBK" w:hAnsi="方正仿宋_GBK" w:eastAsia="方正仿宋_GBK" w:cs="方正仿宋_GBK"/>
          <w:b/>
          <w:bCs/>
          <w:sz w:val="33"/>
          <w:szCs w:val="33"/>
        </w:rPr>
        <w:t>（一）职能简介</w:t>
      </w:r>
      <w:r>
        <w:rPr>
          <w:rFonts w:hint="eastAsia" w:ascii="方正楷体_GBK" w:hAnsi="方正楷体_GBK" w:eastAsia="方正楷体_GBK" w:cs="宋体"/>
          <w:sz w:val="33"/>
          <w:szCs w:val="33"/>
        </w:rPr>
        <w:t>……………………………………………</w:t>
      </w:r>
      <w:r>
        <w:rPr>
          <w:rFonts w:hint="eastAsia" w:ascii="方正楷体_GBK" w:hAnsi="方正楷体_GBK" w:eastAsia="方正楷体_GBK" w:cs="宋体"/>
          <w:sz w:val="33"/>
          <w:szCs w:val="33"/>
          <w:lang w:val="en-US" w:eastAsia="zh-CN"/>
        </w:rPr>
        <w:t>3</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宋体"/>
          <w:sz w:val="33"/>
          <w:szCs w:val="33"/>
          <w:lang w:val="en-US" w:eastAsia="zh-CN"/>
        </w:rPr>
      </w:pPr>
      <w:r>
        <w:rPr>
          <w:rFonts w:hint="eastAsia" w:ascii="方正仿宋_GBK" w:hAnsi="方正仿宋_GBK" w:eastAsia="方正仿宋_GBK" w:cs="方正仿宋_GBK"/>
          <w:b/>
          <w:bCs/>
          <w:sz w:val="33"/>
          <w:szCs w:val="33"/>
        </w:rPr>
        <w:t>（二）</w:t>
      </w:r>
      <w:r>
        <w:rPr>
          <w:rFonts w:hint="eastAsia" w:asciiTheme="minorEastAsia" w:hAnsiTheme="minorEastAsia" w:eastAsiaTheme="minorEastAsia" w:cstheme="minorEastAsia"/>
          <w:b/>
          <w:bCs/>
          <w:color w:val="000000"/>
          <w:kern w:val="0"/>
          <w:sz w:val="33"/>
          <w:szCs w:val="33"/>
          <w:lang w:val="en-US" w:eastAsia="zh-CN" w:bidi="ar-SA"/>
        </w:rPr>
        <w:t>2024</w:t>
      </w:r>
      <w:r>
        <w:rPr>
          <w:rFonts w:hint="eastAsia" w:ascii="方正仿宋_GBK" w:hAnsi="方正仿宋_GBK" w:eastAsia="方正仿宋_GBK" w:cs="方正仿宋_GBK"/>
          <w:b/>
          <w:bCs/>
          <w:sz w:val="33"/>
          <w:szCs w:val="33"/>
        </w:rPr>
        <w:t>年重点工作</w:t>
      </w:r>
      <w:r>
        <w:rPr>
          <w:rFonts w:hint="eastAsia" w:ascii="方正楷体_GBK" w:hAnsi="方正楷体_GBK" w:eastAsia="方正楷体_GBK" w:cs="宋体"/>
          <w:sz w:val="33"/>
          <w:szCs w:val="33"/>
        </w:rPr>
        <w:t>……………………………………</w:t>
      </w:r>
      <w:r>
        <w:rPr>
          <w:rFonts w:hint="eastAsia" w:ascii="方正楷体_GBK" w:hAnsi="方正楷体_GBK" w:eastAsia="方正楷体_GBK" w:cs="宋体"/>
          <w:sz w:val="33"/>
          <w:szCs w:val="33"/>
          <w:lang w:val="en-US" w:eastAsia="zh-CN"/>
        </w:rPr>
        <w:t>5</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宋体"/>
          <w:sz w:val="33"/>
          <w:szCs w:val="33"/>
          <w:lang w:val="en-US" w:eastAsia="zh-CN"/>
        </w:rPr>
      </w:pPr>
      <w:r>
        <w:rPr>
          <w:rFonts w:hint="eastAsia" w:ascii="方正楷体_GBK" w:hAnsi="方正楷体_GBK" w:eastAsia="方正楷体_GBK" w:cs="宋体"/>
          <w:sz w:val="33"/>
          <w:szCs w:val="33"/>
        </w:rPr>
        <w:t>二、单位预算单位构成……………………………………</w:t>
      </w:r>
      <w:r>
        <w:rPr>
          <w:rFonts w:hint="eastAsia" w:ascii="方正楷体_GBK" w:hAnsi="方正楷体_GBK" w:eastAsia="方正楷体_GBK" w:cs="宋体"/>
          <w:sz w:val="33"/>
          <w:szCs w:val="33"/>
          <w:lang w:val="en-US" w:eastAsia="zh-CN"/>
        </w:rPr>
        <w:t>6</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宋体"/>
          <w:sz w:val="33"/>
          <w:szCs w:val="33"/>
          <w:lang w:val="en-US" w:eastAsia="zh-CN"/>
        </w:rPr>
      </w:pPr>
      <w:r>
        <w:rPr>
          <w:rFonts w:hint="eastAsia" w:ascii="方正楷体_GBK" w:hAnsi="方正楷体_GBK" w:eastAsia="方正楷体_GBK" w:cs="宋体"/>
          <w:sz w:val="33"/>
          <w:szCs w:val="33"/>
        </w:rPr>
        <w:t>三、收支预算情况说明……………………………………</w:t>
      </w:r>
      <w:r>
        <w:rPr>
          <w:rFonts w:hint="eastAsia" w:ascii="方正楷体_GBK" w:hAnsi="方正楷体_GBK" w:eastAsia="方正楷体_GBK" w:cs="宋体"/>
          <w:sz w:val="33"/>
          <w:szCs w:val="33"/>
          <w:lang w:val="en-US" w:eastAsia="zh-CN"/>
        </w:rPr>
        <w:t>6</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宋体"/>
          <w:sz w:val="33"/>
          <w:szCs w:val="33"/>
          <w:lang w:val="en-US" w:eastAsia="zh-CN"/>
        </w:rPr>
      </w:pPr>
      <w:r>
        <w:rPr>
          <w:rFonts w:hint="eastAsia" w:ascii="方正仿宋_GBK" w:hAnsi="方正仿宋_GBK" w:eastAsia="方正仿宋_GBK" w:cs="方正仿宋_GBK"/>
          <w:b/>
          <w:bCs/>
          <w:sz w:val="33"/>
          <w:szCs w:val="33"/>
        </w:rPr>
        <w:t>（一）收入预算情况</w:t>
      </w:r>
      <w:r>
        <w:rPr>
          <w:rFonts w:hint="eastAsia" w:ascii="方正楷体_GBK" w:hAnsi="方正楷体_GBK" w:eastAsia="方正楷体_GBK" w:cs="宋体"/>
          <w:sz w:val="33"/>
          <w:szCs w:val="33"/>
        </w:rPr>
        <w:t>………………………………………</w:t>
      </w:r>
      <w:r>
        <w:rPr>
          <w:rFonts w:hint="eastAsia" w:ascii="方正楷体_GBK" w:hAnsi="方正楷体_GBK" w:eastAsia="方正楷体_GBK" w:cs="宋体"/>
          <w:sz w:val="33"/>
          <w:szCs w:val="33"/>
          <w:lang w:val="en-US" w:eastAsia="zh-CN"/>
        </w:rPr>
        <w:t>7</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宋体"/>
          <w:sz w:val="33"/>
          <w:szCs w:val="33"/>
          <w:lang w:val="en-US" w:eastAsia="zh-CN"/>
        </w:rPr>
      </w:pPr>
      <w:r>
        <w:rPr>
          <w:rFonts w:hint="eastAsia" w:ascii="方正仿宋_GBK" w:hAnsi="方正仿宋_GBK" w:eastAsia="方正仿宋_GBK" w:cs="方正仿宋_GBK"/>
          <w:b/>
          <w:bCs/>
          <w:sz w:val="33"/>
          <w:szCs w:val="33"/>
        </w:rPr>
        <w:t>（二）支出预算情况</w:t>
      </w:r>
      <w:r>
        <w:rPr>
          <w:rFonts w:hint="eastAsia" w:ascii="方正楷体_GBK" w:hAnsi="方正楷体_GBK" w:eastAsia="方正楷体_GBK" w:cs="宋体"/>
          <w:sz w:val="33"/>
          <w:szCs w:val="33"/>
        </w:rPr>
        <w:t>………………………………………</w:t>
      </w:r>
      <w:r>
        <w:rPr>
          <w:rFonts w:hint="eastAsia" w:ascii="方正楷体_GBK" w:hAnsi="方正楷体_GBK" w:eastAsia="方正楷体_GBK" w:cs="宋体"/>
          <w:sz w:val="33"/>
          <w:szCs w:val="33"/>
          <w:lang w:val="en-US" w:eastAsia="zh-CN"/>
        </w:rPr>
        <w:t>7</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宋体"/>
          <w:sz w:val="33"/>
          <w:szCs w:val="33"/>
          <w:lang w:val="en-US" w:eastAsia="zh-CN"/>
        </w:rPr>
      </w:pPr>
      <w:r>
        <w:rPr>
          <w:rFonts w:hint="eastAsia" w:ascii="方正楷体_GBK" w:hAnsi="方正楷体_GBK" w:eastAsia="方正楷体_GBK" w:cs="宋体"/>
          <w:sz w:val="33"/>
          <w:szCs w:val="33"/>
        </w:rPr>
        <w:t>四、财政拨款收支预算情况说明…………………………</w:t>
      </w:r>
      <w:r>
        <w:rPr>
          <w:rFonts w:hint="eastAsia" w:ascii="方正楷体_GBK" w:hAnsi="方正楷体_GBK" w:eastAsia="方正楷体_GBK" w:cs="宋体"/>
          <w:sz w:val="33"/>
          <w:szCs w:val="33"/>
          <w:lang w:val="en-US" w:eastAsia="zh-CN"/>
        </w:rPr>
        <w:t>7</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宋体"/>
          <w:sz w:val="33"/>
          <w:szCs w:val="33"/>
          <w:lang w:val="en-US" w:eastAsia="zh-CN"/>
        </w:rPr>
      </w:pPr>
      <w:r>
        <w:rPr>
          <w:rFonts w:hint="eastAsia" w:ascii="方正楷体_GBK" w:hAnsi="方正楷体_GBK" w:eastAsia="方正楷体_GBK" w:cs="宋体"/>
          <w:sz w:val="33"/>
          <w:szCs w:val="33"/>
        </w:rPr>
        <w:t>五、一般公共预算当年拨款情况说明……………………</w:t>
      </w:r>
      <w:r>
        <w:rPr>
          <w:rFonts w:hint="eastAsia" w:ascii="方正楷体_GBK" w:hAnsi="方正楷体_GBK" w:eastAsia="方正楷体_GBK" w:cs="宋体"/>
          <w:sz w:val="33"/>
          <w:szCs w:val="33"/>
          <w:lang w:val="en-US" w:eastAsia="zh-CN"/>
        </w:rPr>
        <w:t>7</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宋体"/>
          <w:sz w:val="33"/>
          <w:szCs w:val="33"/>
          <w:lang w:val="en-US" w:eastAsia="zh-CN"/>
        </w:rPr>
      </w:pPr>
      <w:r>
        <w:rPr>
          <w:rFonts w:hint="eastAsia" w:ascii="方正仿宋_GBK" w:hAnsi="方正仿宋_GBK" w:eastAsia="方正仿宋_GBK" w:cs="方正仿宋_GBK"/>
          <w:b/>
          <w:bCs/>
          <w:sz w:val="33"/>
          <w:szCs w:val="33"/>
        </w:rPr>
        <w:t>（一）一般公共预算当年拨款规模变化情况</w:t>
      </w:r>
      <w:r>
        <w:rPr>
          <w:rFonts w:hint="eastAsia" w:ascii="方正楷体_GBK" w:hAnsi="方正楷体_GBK" w:eastAsia="方正楷体_GBK" w:cs="宋体"/>
          <w:sz w:val="33"/>
          <w:szCs w:val="33"/>
        </w:rPr>
        <w:t>……………</w:t>
      </w:r>
      <w:r>
        <w:rPr>
          <w:rFonts w:hint="eastAsia" w:ascii="方正楷体_GBK" w:hAnsi="方正楷体_GBK" w:eastAsia="方正楷体_GBK" w:cs="宋体"/>
          <w:sz w:val="33"/>
          <w:szCs w:val="33"/>
          <w:lang w:val="en-US" w:eastAsia="zh-CN"/>
        </w:rPr>
        <w:t>7</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宋体"/>
          <w:sz w:val="33"/>
          <w:szCs w:val="33"/>
          <w:lang w:val="en-US" w:eastAsia="zh-CN"/>
        </w:rPr>
      </w:pPr>
      <w:r>
        <w:rPr>
          <w:rFonts w:hint="eastAsia" w:ascii="方正仿宋_GBK" w:hAnsi="方正仿宋_GBK" w:eastAsia="方正仿宋_GBK" w:cs="方正仿宋_GBK"/>
          <w:b/>
          <w:bCs/>
          <w:sz w:val="33"/>
          <w:szCs w:val="33"/>
        </w:rPr>
        <w:t>（二）一般公共预算当年拨款结构情况</w:t>
      </w:r>
      <w:r>
        <w:rPr>
          <w:rFonts w:hint="eastAsia" w:ascii="方正楷体_GBK" w:hAnsi="方正楷体_GBK" w:eastAsia="方正楷体_GBK" w:cs="宋体"/>
          <w:sz w:val="33"/>
          <w:szCs w:val="33"/>
        </w:rPr>
        <w:t>…………………</w:t>
      </w:r>
      <w:r>
        <w:rPr>
          <w:rFonts w:hint="eastAsia" w:ascii="方正楷体_GBK" w:hAnsi="方正楷体_GBK" w:eastAsia="方正楷体_GBK" w:cs="宋体"/>
          <w:sz w:val="33"/>
          <w:szCs w:val="33"/>
          <w:lang w:val="en-US" w:eastAsia="zh-CN"/>
        </w:rPr>
        <w:t>7</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宋体"/>
          <w:sz w:val="33"/>
          <w:szCs w:val="33"/>
          <w:lang w:val="en-US" w:eastAsia="zh-CN"/>
        </w:rPr>
      </w:pPr>
      <w:r>
        <w:rPr>
          <w:rFonts w:hint="eastAsia" w:ascii="方正仿宋_GBK" w:hAnsi="方正仿宋_GBK" w:eastAsia="方正仿宋_GBK" w:cs="方正仿宋_GBK"/>
          <w:b/>
          <w:bCs/>
          <w:sz w:val="33"/>
          <w:szCs w:val="33"/>
        </w:rPr>
        <w:t>（三）一般公共预算当年拨款具体使用情况</w:t>
      </w:r>
      <w:r>
        <w:rPr>
          <w:rFonts w:hint="eastAsia" w:ascii="方正楷体_GBK" w:hAnsi="方正楷体_GBK" w:eastAsia="方正楷体_GBK" w:cs="宋体"/>
          <w:sz w:val="33"/>
          <w:szCs w:val="33"/>
        </w:rPr>
        <w:t>……………</w:t>
      </w:r>
      <w:r>
        <w:rPr>
          <w:rFonts w:hint="eastAsia" w:ascii="方正楷体_GBK" w:hAnsi="方正楷体_GBK" w:eastAsia="方正楷体_GBK" w:cs="宋体"/>
          <w:sz w:val="33"/>
          <w:szCs w:val="33"/>
          <w:lang w:val="en-US" w:eastAsia="zh-CN"/>
        </w:rPr>
        <w:t>7</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宋体"/>
          <w:sz w:val="33"/>
          <w:szCs w:val="33"/>
          <w:lang w:val="en-US" w:eastAsia="zh-CN"/>
        </w:rPr>
      </w:pPr>
      <w:r>
        <w:rPr>
          <w:rFonts w:hint="eastAsia" w:ascii="方正楷体_GBK" w:hAnsi="方正楷体_GBK" w:eastAsia="方正楷体_GBK" w:cs="宋体"/>
          <w:sz w:val="33"/>
          <w:szCs w:val="33"/>
        </w:rPr>
        <w:t>六、一般公共预算基本支出情况说明……………………</w:t>
      </w:r>
      <w:r>
        <w:rPr>
          <w:rFonts w:hint="eastAsia" w:ascii="方正楷体_GBK" w:hAnsi="方正楷体_GBK" w:eastAsia="方正楷体_GBK" w:cs="宋体"/>
          <w:sz w:val="33"/>
          <w:szCs w:val="33"/>
          <w:lang w:val="en-US" w:eastAsia="zh-CN"/>
        </w:rPr>
        <w:t>9</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宋体"/>
          <w:sz w:val="33"/>
          <w:szCs w:val="33"/>
          <w:lang w:val="en-US" w:eastAsia="zh-CN"/>
        </w:rPr>
      </w:pPr>
      <w:r>
        <w:rPr>
          <w:rFonts w:hint="eastAsia" w:ascii="方正楷体_GBK" w:hAnsi="方正楷体_GBK" w:eastAsia="方正楷体_GBK" w:cs="宋体"/>
          <w:sz w:val="33"/>
          <w:szCs w:val="33"/>
        </w:rPr>
        <w:t>七、“三公”经费财政拨款预算安排情况说明…………</w:t>
      </w:r>
      <w:r>
        <w:rPr>
          <w:rFonts w:hint="eastAsia" w:ascii="方正楷体_GBK" w:hAnsi="方正楷体_GBK" w:eastAsia="方正楷体_GBK" w:cs="宋体"/>
          <w:sz w:val="33"/>
          <w:szCs w:val="33"/>
          <w:lang w:val="en-US" w:eastAsia="zh-CN"/>
        </w:rPr>
        <w:t>9</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宋体"/>
          <w:sz w:val="33"/>
          <w:szCs w:val="33"/>
          <w:lang w:val="en-US" w:eastAsia="zh-CN"/>
        </w:rPr>
      </w:pPr>
      <w:r>
        <w:rPr>
          <w:rFonts w:hint="eastAsia" w:ascii="方正楷体_GBK" w:hAnsi="方正楷体_GBK" w:eastAsia="方正楷体_GBK" w:cs="宋体"/>
          <w:sz w:val="33"/>
          <w:szCs w:val="33"/>
        </w:rPr>
        <w:t>八、政府性基金预算支出情况说明………………………</w:t>
      </w:r>
      <w:r>
        <w:rPr>
          <w:rFonts w:hint="eastAsia" w:ascii="方正楷体_GBK" w:hAnsi="方正楷体_GBK" w:eastAsia="方正楷体_GBK" w:cs="宋体"/>
          <w:sz w:val="33"/>
          <w:szCs w:val="33"/>
          <w:lang w:val="en-US" w:eastAsia="zh-CN"/>
        </w:rPr>
        <w:t>10</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宋体"/>
          <w:sz w:val="33"/>
          <w:szCs w:val="33"/>
          <w:lang w:val="en-US" w:eastAsia="zh-CN"/>
        </w:rPr>
      </w:pPr>
      <w:r>
        <w:rPr>
          <w:rFonts w:hint="eastAsia" w:ascii="方正楷体_GBK" w:hAnsi="方正楷体_GBK" w:eastAsia="方正楷体_GBK" w:cs="宋体"/>
          <w:sz w:val="33"/>
          <w:szCs w:val="33"/>
        </w:rPr>
        <w:t>九、国有资本经营预算支出情况说明……………………</w:t>
      </w:r>
      <w:r>
        <w:rPr>
          <w:rFonts w:hint="eastAsia" w:ascii="方正楷体_GBK" w:hAnsi="方正楷体_GBK" w:eastAsia="方正楷体_GBK" w:cs="宋体"/>
          <w:sz w:val="33"/>
          <w:szCs w:val="33"/>
          <w:lang w:val="en-US" w:eastAsia="zh-CN"/>
        </w:rPr>
        <w:t>10</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宋体"/>
          <w:sz w:val="33"/>
          <w:szCs w:val="33"/>
          <w:lang w:val="en-US" w:eastAsia="zh-CN"/>
        </w:rPr>
      </w:pPr>
      <w:r>
        <w:rPr>
          <w:rFonts w:hint="eastAsia" w:ascii="方正楷体_GBK" w:hAnsi="方正楷体_GBK" w:eastAsia="方正楷体_GBK" w:cs="宋体"/>
          <w:sz w:val="33"/>
          <w:szCs w:val="33"/>
        </w:rPr>
        <w:t>十、其他重要事项的情况说明……………………………</w:t>
      </w:r>
      <w:r>
        <w:rPr>
          <w:rFonts w:hint="eastAsia" w:ascii="方正楷体_GBK" w:hAnsi="方正楷体_GBK" w:eastAsia="方正楷体_GBK" w:cs="宋体"/>
          <w:sz w:val="33"/>
          <w:szCs w:val="33"/>
          <w:lang w:val="en-US" w:eastAsia="zh-CN"/>
        </w:rPr>
        <w:t>10</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宋体"/>
          <w:sz w:val="33"/>
          <w:szCs w:val="33"/>
          <w:lang w:val="en-US" w:eastAsia="zh-CN"/>
        </w:rPr>
      </w:pPr>
      <w:r>
        <w:rPr>
          <w:rFonts w:hint="eastAsia" w:ascii="方正仿宋_GBK" w:hAnsi="方正仿宋_GBK" w:eastAsia="方正仿宋_GBK" w:cs="方正仿宋_GBK"/>
          <w:b/>
          <w:bCs/>
          <w:sz w:val="33"/>
          <w:szCs w:val="33"/>
        </w:rPr>
        <w:t>（一）机关运行经费</w:t>
      </w:r>
      <w:r>
        <w:rPr>
          <w:rFonts w:hint="eastAsia" w:ascii="方正楷体_GBK" w:hAnsi="方正楷体_GBK" w:eastAsia="方正楷体_GBK" w:cs="宋体"/>
          <w:sz w:val="33"/>
          <w:szCs w:val="33"/>
        </w:rPr>
        <w:t>………………………………………</w:t>
      </w:r>
      <w:r>
        <w:rPr>
          <w:rFonts w:hint="eastAsia" w:ascii="方正楷体_GBK" w:hAnsi="方正楷体_GBK" w:eastAsia="方正楷体_GBK" w:cs="宋体"/>
          <w:sz w:val="33"/>
          <w:szCs w:val="33"/>
          <w:lang w:val="en-US" w:eastAsia="zh-CN"/>
        </w:rPr>
        <w:t>10</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宋体"/>
          <w:sz w:val="33"/>
          <w:szCs w:val="33"/>
          <w:lang w:val="en-US" w:eastAsia="zh-CN"/>
        </w:rPr>
      </w:pPr>
      <w:r>
        <w:rPr>
          <w:rFonts w:hint="eastAsia" w:ascii="方正仿宋_GBK" w:hAnsi="方正仿宋_GBK" w:eastAsia="方正仿宋_GBK" w:cs="方正仿宋_GBK"/>
          <w:b/>
          <w:bCs/>
          <w:sz w:val="33"/>
          <w:szCs w:val="33"/>
        </w:rPr>
        <w:t>（二）政府采购情况</w:t>
      </w:r>
      <w:r>
        <w:rPr>
          <w:rFonts w:hint="eastAsia" w:ascii="方正楷体_GBK" w:hAnsi="方正楷体_GBK" w:eastAsia="方正楷体_GBK" w:cs="宋体"/>
          <w:sz w:val="33"/>
          <w:szCs w:val="33"/>
        </w:rPr>
        <w:t>………………………………………</w:t>
      </w:r>
      <w:r>
        <w:rPr>
          <w:rFonts w:hint="eastAsia" w:ascii="方正楷体_GBK" w:hAnsi="方正楷体_GBK" w:eastAsia="方正楷体_GBK" w:cs="宋体"/>
          <w:sz w:val="33"/>
          <w:szCs w:val="33"/>
          <w:lang w:val="en-US" w:eastAsia="zh-CN"/>
        </w:rPr>
        <w:t>10</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宋体"/>
          <w:sz w:val="33"/>
          <w:szCs w:val="33"/>
          <w:lang w:val="en-US" w:eastAsia="zh-CN"/>
        </w:rPr>
      </w:pPr>
      <w:r>
        <w:rPr>
          <w:rFonts w:hint="eastAsia" w:ascii="方正仿宋_GBK" w:hAnsi="方正仿宋_GBK" w:eastAsia="方正仿宋_GBK" w:cs="方正仿宋_GBK"/>
          <w:b/>
          <w:bCs/>
          <w:sz w:val="33"/>
          <w:szCs w:val="33"/>
        </w:rPr>
        <w:t>（三）国有资产占有使用情况</w:t>
      </w:r>
      <w:r>
        <w:rPr>
          <w:rFonts w:hint="eastAsia" w:ascii="方正楷体_GBK" w:hAnsi="方正楷体_GBK" w:eastAsia="方正楷体_GBK" w:cs="宋体"/>
          <w:sz w:val="33"/>
          <w:szCs w:val="33"/>
        </w:rPr>
        <w:t>……………………………</w:t>
      </w:r>
      <w:r>
        <w:rPr>
          <w:rFonts w:hint="eastAsia" w:ascii="方正楷体_GBK" w:hAnsi="方正楷体_GBK" w:eastAsia="方正楷体_GBK" w:cs="宋体"/>
          <w:sz w:val="33"/>
          <w:szCs w:val="33"/>
          <w:lang w:val="en-US" w:eastAsia="zh-CN"/>
        </w:rPr>
        <w:t>11</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宋体"/>
          <w:sz w:val="33"/>
          <w:szCs w:val="33"/>
          <w:lang w:val="en-US" w:eastAsia="zh-CN"/>
        </w:rPr>
      </w:pPr>
      <w:r>
        <w:rPr>
          <w:rFonts w:hint="eastAsia" w:ascii="方正仿宋_GBK" w:hAnsi="方正仿宋_GBK" w:eastAsia="方正仿宋_GBK" w:cs="方正仿宋_GBK"/>
          <w:b/>
          <w:bCs/>
          <w:sz w:val="33"/>
          <w:szCs w:val="33"/>
        </w:rPr>
        <w:t>（四）绩效目标设置情况</w:t>
      </w:r>
      <w:r>
        <w:rPr>
          <w:rFonts w:hint="eastAsia" w:ascii="方正楷体_GBK" w:hAnsi="方正楷体_GBK" w:eastAsia="方正楷体_GBK" w:cs="宋体"/>
          <w:sz w:val="33"/>
          <w:szCs w:val="33"/>
        </w:rPr>
        <w:t>…………………………………</w:t>
      </w:r>
      <w:r>
        <w:rPr>
          <w:rFonts w:hint="eastAsia" w:ascii="方正楷体_GBK" w:hAnsi="方正楷体_GBK" w:eastAsia="方正楷体_GBK" w:cs="宋体"/>
          <w:sz w:val="33"/>
          <w:szCs w:val="33"/>
          <w:lang w:val="en-US" w:eastAsia="zh-CN"/>
        </w:rPr>
        <w:t>11</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宋体"/>
          <w:sz w:val="33"/>
          <w:szCs w:val="33"/>
          <w:lang w:val="en-US" w:eastAsia="zh-CN"/>
        </w:rPr>
      </w:pPr>
      <w:r>
        <w:rPr>
          <w:rFonts w:hint="eastAsia" w:ascii="方正楷体_GBK" w:hAnsi="方正楷体_GBK" w:eastAsia="方正楷体_GBK" w:cs="宋体"/>
          <w:sz w:val="33"/>
          <w:szCs w:val="33"/>
        </w:rPr>
        <w:t>十一、名词解释……………………………………………</w:t>
      </w:r>
      <w:r>
        <w:rPr>
          <w:rFonts w:hint="eastAsia" w:ascii="方正楷体_GBK" w:hAnsi="方正楷体_GBK" w:eastAsia="方正楷体_GBK" w:cs="宋体"/>
          <w:sz w:val="33"/>
          <w:szCs w:val="33"/>
          <w:lang w:val="en-US" w:eastAsia="zh-CN"/>
        </w:rPr>
        <w:t>11</w:t>
      </w:r>
    </w:p>
    <w:p>
      <w:pPr>
        <w:pStyle w:val="2"/>
        <w:adjustRightInd w:val="0"/>
        <w:spacing w:before="93" w:line="590" w:lineRule="exact"/>
        <w:ind w:firstLine="660" w:firstLineChars="200"/>
        <w:contextualSpacing/>
        <w:outlineLvl w:val="2"/>
        <w:rPr>
          <w:rFonts w:ascii="Times New Roman" w:eastAsia="方正仿宋简体"/>
          <w:color w:val="000000"/>
          <w:sz w:val="33"/>
          <w:szCs w:val="33"/>
        </w:rPr>
      </w:pPr>
    </w:p>
    <w:p>
      <w:pPr>
        <w:pStyle w:val="2"/>
        <w:adjustRightInd w:val="0"/>
        <w:spacing w:before="93" w:line="590" w:lineRule="exact"/>
        <w:ind w:firstLine="660" w:firstLineChars="200"/>
        <w:contextualSpacing/>
        <w:outlineLvl w:val="2"/>
        <w:rPr>
          <w:rFonts w:ascii="Times New Roman" w:eastAsia="方正仿宋简体"/>
          <w:color w:val="000000"/>
          <w:sz w:val="33"/>
          <w:szCs w:val="33"/>
        </w:rPr>
      </w:pPr>
      <w:r>
        <w:rPr>
          <w:rFonts w:ascii="Times New Roman" w:eastAsia="方正仿宋简体"/>
          <w:color w:val="000000"/>
          <w:sz w:val="33"/>
          <w:szCs w:val="33"/>
        </w:rPr>
        <w:t>附件：</w:t>
      </w:r>
      <w:r>
        <w:rPr>
          <w:rFonts w:hint="eastAsia" w:asciiTheme="minorEastAsia" w:hAnsiTheme="minorEastAsia" w:eastAsiaTheme="minorEastAsia" w:cstheme="minorEastAsia"/>
          <w:color w:val="000000"/>
          <w:sz w:val="33"/>
          <w:szCs w:val="33"/>
        </w:rPr>
        <w:t>2024</w:t>
      </w:r>
      <w:r>
        <w:rPr>
          <w:rFonts w:ascii="Times New Roman" w:eastAsia="方正仿宋简体"/>
          <w:color w:val="000000"/>
          <w:sz w:val="33"/>
          <w:szCs w:val="33"/>
        </w:rPr>
        <w:t>年</w:t>
      </w:r>
      <w:r>
        <w:rPr>
          <w:rFonts w:hint="eastAsia" w:ascii="Times New Roman" w:eastAsia="方正仿宋简体"/>
          <w:color w:val="000000"/>
          <w:sz w:val="33"/>
          <w:szCs w:val="33"/>
        </w:rPr>
        <w:t>单位</w:t>
      </w:r>
      <w:r>
        <w:rPr>
          <w:rFonts w:ascii="Times New Roman" w:eastAsia="方正仿宋简体"/>
          <w:color w:val="000000"/>
          <w:sz w:val="33"/>
          <w:szCs w:val="33"/>
        </w:rPr>
        <w:t>预算公开表</w:t>
      </w:r>
    </w:p>
    <w:p>
      <w:pPr>
        <w:ind w:firstLine="420" w:firstLineChars="200"/>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640" w:firstLineChars="200"/>
        <w:rPr>
          <w:rFonts w:hint="eastAsia" w:ascii="方正仿宋简体" w:eastAsia="方正仿宋简体"/>
          <w:sz w:val="32"/>
          <w:szCs w:val="32"/>
        </w:rPr>
      </w:pPr>
    </w:p>
    <w:p>
      <w:pPr>
        <w:spacing w:line="600" w:lineRule="exact"/>
        <w:ind w:firstLine="640" w:firstLineChars="200"/>
        <w:rPr>
          <w:rFonts w:eastAsia="黑体"/>
          <w:sz w:val="32"/>
          <w:szCs w:val="32"/>
        </w:rPr>
      </w:pPr>
    </w:p>
    <w:p>
      <w:pPr>
        <w:spacing w:line="600" w:lineRule="exact"/>
        <w:ind w:firstLine="640" w:firstLineChars="200"/>
        <w:rPr>
          <w:rFonts w:eastAsia="黑体"/>
          <w:sz w:val="32"/>
          <w:szCs w:val="32"/>
        </w:rPr>
      </w:pPr>
    </w:p>
    <w:p>
      <w:pPr>
        <w:spacing w:line="600" w:lineRule="exact"/>
        <w:ind w:firstLine="640" w:firstLineChars="200"/>
        <w:rPr>
          <w:rFonts w:eastAsia="黑体"/>
          <w:sz w:val="32"/>
          <w:szCs w:val="32"/>
        </w:rPr>
      </w:pPr>
    </w:p>
    <w:p>
      <w:pPr>
        <w:spacing w:line="600" w:lineRule="exact"/>
        <w:ind w:firstLine="640" w:firstLineChars="200"/>
        <w:rPr>
          <w:rFonts w:eastAsia="黑体"/>
          <w:sz w:val="32"/>
          <w:szCs w:val="32"/>
        </w:rPr>
      </w:pPr>
    </w:p>
    <w:p>
      <w:pPr>
        <w:spacing w:line="600" w:lineRule="exact"/>
        <w:ind w:firstLine="640" w:firstLineChars="200"/>
        <w:rPr>
          <w:rFonts w:eastAsia="黑体"/>
          <w:sz w:val="32"/>
          <w:szCs w:val="32"/>
        </w:rPr>
      </w:pPr>
    </w:p>
    <w:p>
      <w:pPr>
        <w:keepNext w:val="0"/>
        <w:keepLines w:val="0"/>
        <w:pageBreakBefore w:val="0"/>
        <w:widowControl w:val="0"/>
        <w:kinsoku/>
        <w:wordWrap/>
        <w:overflowPunct/>
        <w:topLinePunct w:val="0"/>
        <w:autoSpaceDE/>
        <w:autoSpaceDN/>
        <w:bidi w:val="0"/>
        <w:snapToGrid/>
        <w:spacing w:line="590" w:lineRule="exact"/>
        <w:ind w:left="0" w:leftChars="0" w:firstLine="660" w:firstLineChars="200"/>
        <w:textAlignment w:val="auto"/>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一、基本职能及主要工作</w:t>
      </w:r>
    </w:p>
    <w:p>
      <w:pPr>
        <w:keepNext w:val="0"/>
        <w:keepLines w:val="0"/>
        <w:pageBreakBefore w:val="0"/>
        <w:widowControl w:val="0"/>
        <w:kinsoku/>
        <w:wordWrap/>
        <w:overflowPunct/>
        <w:topLinePunct w:val="0"/>
        <w:autoSpaceDE/>
        <w:autoSpaceDN/>
        <w:bidi w:val="0"/>
        <w:snapToGrid/>
        <w:spacing w:line="590" w:lineRule="exact"/>
        <w:ind w:left="0" w:leftChars="0" w:firstLine="663" w:firstLineChars="200"/>
        <w:textAlignment w:val="auto"/>
        <w:rPr>
          <w:rFonts w:hint="eastAsia" w:ascii="方正楷体_GBK" w:hAnsi="方正楷体_GBK" w:eastAsia="方正楷体_GBK" w:cs="方正楷体_GBK"/>
          <w:b/>
          <w:bCs w:val="0"/>
          <w:sz w:val="33"/>
          <w:szCs w:val="33"/>
        </w:rPr>
      </w:pPr>
      <w:r>
        <w:rPr>
          <w:rFonts w:hint="eastAsia" w:ascii="方正楷体_GBK" w:hAnsi="方正楷体_GBK" w:eastAsia="方正楷体_GBK" w:cs="方正楷体_GBK"/>
          <w:b/>
          <w:bCs w:val="0"/>
          <w:sz w:val="33"/>
          <w:szCs w:val="33"/>
        </w:rPr>
        <w:t>（一）职能简介</w:t>
      </w:r>
    </w:p>
    <w:p>
      <w:pPr>
        <w:pStyle w:val="2"/>
        <w:keepNext w:val="0"/>
        <w:keepLines w:val="0"/>
        <w:pageBreakBefore w:val="0"/>
        <w:widowControl w:val="0"/>
        <w:kinsoku/>
        <w:wordWrap/>
        <w:overflowPunct/>
        <w:topLinePunct w:val="0"/>
        <w:autoSpaceDE/>
        <w:autoSpaceDN/>
        <w:bidi w:val="0"/>
        <w:adjustRightInd w:val="0"/>
        <w:snapToGrid/>
        <w:spacing w:beforeLines="0" w:line="590" w:lineRule="exact"/>
        <w:ind w:left="0" w:leftChars="0" w:firstLine="660" w:firstLineChars="200"/>
        <w:contextualSpacing/>
        <w:textAlignment w:val="auto"/>
        <w:outlineLvl w:val="2"/>
        <w:rPr>
          <w:rFonts w:hint="eastAsia" w:ascii="宋体" w:hAnsi="宋体" w:eastAsia="方正仿宋_GBK" w:cs="方正仿宋_GBK"/>
          <w:color w:val="000000"/>
          <w:sz w:val="33"/>
          <w:szCs w:val="33"/>
        </w:rPr>
      </w:pPr>
      <w:r>
        <w:rPr>
          <w:rFonts w:hint="eastAsia" w:ascii="宋体" w:hAnsi="宋体" w:eastAsia="方正仿宋_GBK" w:cs="方正仿宋_GBK"/>
          <w:color w:val="000000"/>
          <w:sz w:val="33"/>
          <w:szCs w:val="33"/>
        </w:rPr>
        <w:t>1.贯彻落实国家、省有关国内外贸易、外商投资和国际经济合作的方针、政策和法律、法规、规章，拟订全区国内外贸易、外商投资和对外经济合作的相关政策、规范性文件和实施细则，制定全区商务发展规划、年度计划并组织实施。</w:t>
      </w:r>
    </w:p>
    <w:p>
      <w:pPr>
        <w:pStyle w:val="2"/>
        <w:keepNext w:val="0"/>
        <w:keepLines w:val="0"/>
        <w:pageBreakBefore w:val="0"/>
        <w:widowControl w:val="0"/>
        <w:kinsoku/>
        <w:wordWrap/>
        <w:overflowPunct/>
        <w:topLinePunct w:val="0"/>
        <w:autoSpaceDE/>
        <w:autoSpaceDN/>
        <w:bidi w:val="0"/>
        <w:adjustRightInd w:val="0"/>
        <w:snapToGrid/>
        <w:spacing w:beforeLines="0" w:line="590" w:lineRule="exact"/>
        <w:ind w:left="0" w:leftChars="0" w:firstLine="693" w:firstLineChars="210"/>
        <w:contextualSpacing/>
        <w:textAlignment w:val="auto"/>
        <w:outlineLvl w:val="2"/>
        <w:rPr>
          <w:rFonts w:hint="eastAsia" w:ascii="宋体" w:hAnsi="宋体" w:eastAsia="方正仿宋_GBK" w:cs="方正仿宋_GBK"/>
          <w:color w:val="000000"/>
          <w:sz w:val="33"/>
          <w:szCs w:val="33"/>
        </w:rPr>
      </w:pPr>
      <w:r>
        <w:rPr>
          <w:rFonts w:hint="eastAsia" w:ascii="宋体" w:hAnsi="宋体" w:eastAsia="方正仿宋_GBK" w:cs="方正仿宋_GBK"/>
          <w:color w:val="000000"/>
          <w:sz w:val="33"/>
          <w:szCs w:val="33"/>
        </w:rPr>
        <w:t>2.按要求承担商贸服务业发展工作中组织实施的协调职责，推进流通产业结构调整，加快第三方物流发展，指导流通企业改革、商贸服务业和社区商业发展，提出促进商贸企业发展的政策建议，推动流通标准化和连锁经营、商业特许经营、物流配送、电子商务等现代流通方式的发展。</w:t>
      </w:r>
    </w:p>
    <w:p>
      <w:pPr>
        <w:pStyle w:val="2"/>
        <w:keepNext w:val="0"/>
        <w:keepLines w:val="0"/>
        <w:pageBreakBefore w:val="0"/>
        <w:widowControl w:val="0"/>
        <w:kinsoku/>
        <w:wordWrap/>
        <w:overflowPunct/>
        <w:topLinePunct w:val="0"/>
        <w:autoSpaceDE/>
        <w:autoSpaceDN/>
        <w:bidi w:val="0"/>
        <w:adjustRightInd w:val="0"/>
        <w:spacing w:before="93" w:line="590" w:lineRule="exact"/>
        <w:ind w:firstLine="693" w:firstLineChars="210"/>
        <w:contextualSpacing/>
        <w:textAlignment w:val="auto"/>
        <w:outlineLvl w:val="2"/>
        <w:rPr>
          <w:rFonts w:hint="eastAsia" w:ascii="宋体" w:hAnsi="宋体" w:eastAsia="方正仿宋_GBK" w:cs="方正仿宋_GBK"/>
          <w:color w:val="000000"/>
          <w:sz w:val="33"/>
          <w:szCs w:val="33"/>
        </w:rPr>
      </w:pPr>
      <w:r>
        <w:rPr>
          <w:rFonts w:hint="eastAsia" w:ascii="宋体" w:hAnsi="宋体" w:eastAsia="方正仿宋_GBK" w:cs="方正仿宋_GBK"/>
          <w:color w:val="000000"/>
          <w:sz w:val="33"/>
          <w:szCs w:val="33"/>
        </w:rPr>
        <w:t>3.拟订市场体系建设的规划和支持政策，组织编制大宗商品批发市场规划，指导城市商业网点规划、网点布局管理和商业体系建设工作，推进农村市场体系建设，组织实施农村现代流通网络工程，促进城乡市场一体化发展。</w:t>
      </w:r>
    </w:p>
    <w:p>
      <w:pPr>
        <w:pStyle w:val="2"/>
        <w:keepNext w:val="0"/>
        <w:keepLines w:val="0"/>
        <w:pageBreakBefore w:val="0"/>
        <w:widowControl w:val="0"/>
        <w:kinsoku/>
        <w:wordWrap/>
        <w:overflowPunct/>
        <w:topLinePunct w:val="0"/>
        <w:autoSpaceDE/>
        <w:autoSpaceDN/>
        <w:bidi w:val="0"/>
        <w:adjustRightInd w:val="0"/>
        <w:spacing w:before="93" w:line="590" w:lineRule="exact"/>
        <w:ind w:firstLine="693" w:firstLineChars="210"/>
        <w:contextualSpacing/>
        <w:textAlignment w:val="auto"/>
        <w:outlineLvl w:val="2"/>
        <w:rPr>
          <w:rFonts w:hint="eastAsia" w:ascii="宋体" w:hAnsi="宋体" w:eastAsia="方正仿宋_GBK" w:cs="方正仿宋_GBK"/>
          <w:color w:val="000000"/>
          <w:sz w:val="33"/>
          <w:szCs w:val="33"/>
        </w:rPr>
      </w:pPr>
      <w:r>
        <w:rPr>
          <w:rFonts w:hint="eastAsia" w:ascii="宋体" w:hAnsi="宋体" w:eastAsia="方正仿宋_GBK" w:cs="方正仿宋_GBK"/>
          <w:color w:val="000000"/>
          <w:sz w:val="33"/>
          <w:szCs w:val="33"/>
        </w:rPr>
        <w:t>4.承担牵头协调整顿和规范市场经济秩序工作的责任，拟订规范市场运行和流通秩序的政策，推动商务领域信用体系建设，指导商业企业开展信用销售，规范促销行为，建立市场诚信公共服务平台，按有规定对特殊流通行业监督管理，承担茧丝绸协调工作，依法打击商业欺诈行为。</w:t>
      </w:r>
    </w:p>
    <w:p>
      <w:pPr>
        <w:pStyle w:val="2"/>
        <w:keepNext w:val="0"/>
        <w:keepLines w:val="0"/>
        <w:pageBreakBefore w:val="0"/>
        <w:widowControl w:val="0"/>
        <w:kinsoku/>
        <w:wordWrap/>
        <w:overflowPunct/>
        <w:topLinePunct w:val="0"/>
        <w:autoSpaceDE/>
        <w:autoSpaceDN/>
        <w:bidi w:val="0"/>
        <w:adjustRightInd w:val="0"/>
        <w:spacing w:before="93" w:line="590" w:lineRule="exact"/>
        <w:ind w:firstLine="693" w:firstLineChars="210"/>
        <w:contextualSpacing/>
        <w:textAlignment w:val="auto"/>
        <w:outlineLvl w:val="2"/>
        <w:rPr>
          <w:rFonts w:hint="eastAsia" w:ascii="宋体" w:hAnsi="宋体" w:eastAsia="方正仿宋_GBK" w:cs="方正仿宋_GBK"/>
          <w:color w:val="000000"/>
          <w:sz w:val="33"/>
          <w:szCs w:val="33"/>
        </w:rPr>
      </w:pPr>
      <w:r>
        <w:rPr>
          <w:rFonts w:hint="eastAsia" w:ascii="宋体" w:hAnsi="宋体" w:eastAsia="方正仿宋_GBK" w:cs="方正仿宋_GBK"/>
          <w:color w:val="000000"/>
          <w:sz w:val="33"/>
          <w:szCs w:val="33"/>
        </w:rPr>
        <w:t>5.负责建立健全生活必需品市场供应应急管理机制，监测分析市场运行、商品供求状况，调查分析商品价格信息，进行预测预警和信息引导。</w:t>
      </w:r>
    </w:p>
    <w:p>
      <w:pPr>
        <w:pStyle w:val="2"/>
        <w:keepNext w:val="0"/>
        <w:keepLines w:val="0"/>
        <w:pageBreakBefore w:val="0"/>
        <w:widowControl w:val="0"/>
        <w:kinsoku/>
        <w:wordWrap/>
        <w:overflowPunct/>
        <w:topLinePunct w:val="0"/>
        <w:autoSpaceDE/>
        <w:autoSpaceDN/>
        <w:bidi w:val="0"/>
        <w:adjustRightInd w:val="0"/>
        <w:spacing w:before="93" w:line="590" w:lineRule="exact"/>
        <w:ind w:firstLine="693" w:firstLineChars="210"/>
        <w:contextualSpacing/>
        <w:textAlignment w:val="auto"/>
        <w:outlineLvl w:val="2"/>
        <w:rPr>
          <w:rFonts w:hint="eastAsia" w:ascii="宋体" w:hAnsi="宋体" w:eastAsia="方正仿宋_GBK" w:cs="方正仿宋_GBK"/>
          <w:color w:val="000000"/>
          <w:sz w:val="33"/>
          <w:szCs w:val="33"/>
        </w:rPr>
      </w:pPr>
      <w:r>
        <w:rPr>
          <w:rFonts w:hint="eastAsia" w:ascii="宋体" w:hAnsi="宋体" w:eastAsia="方正仿宋_GBK" w:cs="方正仿宋_GBK"/>
          <w:color w:val="000000"/>
          <w:sz w:val="33"/>
          <w:szCs w:val="33"/>
        </w:rPr>
        <w:t>6.指导对外贸易行业执行国家进出口商品、加工贸易管理办法和进出口管理商品、技术目录，组织实施重要工业品、原材料和重要农产品进出口问题计划，会同有关部门协调大宗进出口商品和出口加工区的业务工作，指导贸易促进活动和外贸体系建设。</w:t>
      </w:r>
    </w:p>
    <w:p>
      <w:pPr>
        <w:pStyle w:val="2"/>
        <w:keepNext w:val="0"/>
        <w:keepLines w:val="0"/>
        <w:pageBreakBefore w:val="0"/>
        <w:widowControl w:val="0"/>
        <w:kinsoku/>
        <w:wordWrap/>
        <w:overflowPunct/>
        <w:topLinePunct w:val="0"/>
        <w:autoSpaceDE/>
        <w:autoSpaceDN/>
        <w:bidi w:val="0"/>
        <w:adjustRightInd w:val="0"/>
        <w:spacing w:before="93" w:line="590" w:lineRule="exact"/>
        <w:ind w:firstLine="693" w:firstLineChars="210"/>
        <w:contextualSpacing/>
        <w:textAlignment w:val="auto"/>
        <w:outlineLvl w:val="2"/>
        <w:rPr>
          <w:rFonts w:hint="eastAsia" w:ascii="宋体" w:hAnsi="宋体" w:eastAsia="方正仿宋_GBK" w:cs="方正仿宋_GBK"/>
          <w:color w:val="000000"/>
          <w:sz w:val="33"/>
          <w:szCs w:val="33"/>
        </w:rPr>
      </w:pPr>
      <w:r>
        <w:rPr>
          <w:rFonts w:hint="eastAsia" w:ascii="宋体" w:hAnsi="宋体" w:eastAsia="方正仿宋_GBK" w:cs="方正仿宋_GBK"/>
          <w:color w:val="000000"/>
          <w:sz w:val="33"/>
          <w:szCs w:val="33"/>
        </w:rPr>
        <w:t>7.依法监督技术引进、设备进口、国家限制出口技术的工作，推进进出口贸易标准化工作，牵头负责发展服务贸易的相关工作，推动服务外包平台建设。</w:t>
      </w:r>
    </w:p>
    <w:p>
      <w:pPr>
        <w:pStyle w:val="2"/>
        <w:keepNext w:val="0"/>
        <w:keepLines w:val="0"/>
        <w:pageBreakBefore w:val="0"/>
        <w:widowControl w:val="0"/>
        <w:kinsoku/>
        <w:wordWrap/>
        <w:overflowPunct/>
        <w:topLinePunct w:val="0"/>
        <w:autoSpaceDE/>
        <w:autoSpaceDN/>
        <w:bidi w:val="0"/>
        <w:adjustRightInd w:val="0"/>
        <w:spacing w:before="93" w:line="590" w:lineRule="exact"/>
        <w:ind w:firstLine="693" w:firstLineChars="210"/>
        <w:contextualSpacing/>
        <w:textAlignment w:val="auto"/>
        <w:outlineLvl w:val="2"/>
        <w:rPr>
          <w:rFonts w:hint="eastAsia" w:ascii="宋体" w:hAnsi="宋体" w:eastAsia="方正仿宋_GBK" w:cs="方正仿宋_GBK"/>
          <w:color w:val="000000"/>
          <w:sz w:val="33"/>
          <w:szCs w:val="33"/>
        </w:rPr>
      </w:pPr>
      <w:r>
        <w:rPr>
          <w:rFonts w:hint="eastAsia" w:ascii="宋体" w:hAnsi="宋体" w:eastAsia="方正仿宋_GBK" w:cs="方正仿宋_GBK"/>
          <w:color w:val="000000"/>
          <w:sz w:val="33"/>
          <w:szCs w:val="33"/>
        </w:rPr>
        <w:t>8.拟订应对经济全球化、区域经济合作的对策措施，加强与自由贸易区、港澳台地区的经贸合作，推动贸易和投资便利化。</w:t>
      </w:r>
    </w:p>
    <w:p>
      <w:pPr>
        <w:pStyle w:val="2"/>
        <w:keepNext w:val="0"/>
        <w:keepLines w:val="0"/>
        <w:pageBreakBefore w:val="0"/>
        <w:widowControl w:val="0"/>
        <w:kinsoku/>
        <w:wordWrap/>
        <w:overflowPunct/>
        <w:topLinePunct w:val="0"/>
        <w:autoSpaceDE/>
        <w:autoSpaceDN/>
        <w:bidi w:val="0"/>
        <w:adjustRightInd w:val="0"/>
        <w:spacing w:before="93" w:line="590" w:lineRule="exact"/>
        <w:ind w:firstLine="693" w:firstLineChars="210"/>
        <w:contextualSpacing/>
        <w:textAlignment w:val="auto"/>
        <w:outlineLvl w:val="2"/>
        <w:rPr>
          <w:rFonts w:hint="eastAsia" w:ascii="宋体" w:hAnsi="宋体" w:eastAsia="方正仿宋_GBK" w:cs="方正仿宋_GBK"/>
          <w:color w:val="000000"/>
          <w:sz w:val="33"/>
          <w:szCs w:val="33"/>
        </w:rPr>
      </w:pPr>
      <w:r>
        <w:rPr>
          <w:rFonts w:hint="eastAsia" w:ascii="宋体" w:hAnsi="宋体" w:eastAsia="方正仿宋_GBK" w:cs="方正仿宋_GBK"/>
          <w:color w:val="000000"/>
          <w:sz w:val="33"/>
          <w:szCs w:val="33"/>
        </w:rPr>
        <w:t>9.指导全区外资促进和管理工作，参与制定外商投资政策和改革方案并组织实施，统计分析全区外商投资情况，依法监督检查外商投资企业执行有关法律法规规章、全同章程的情况并协调解决有关问题，参与指导协调全区经济技术开发区的有关工作。</w:t>
      </w:r>
    </w:p>
    <w:p>
      <w:pPr>
        <w:pStyle w:val="2"/>
        <w:keepNext w:val="0"/>
        <w:keepLines w:val="0"/>
        <w:pageBreakBefore w:val="0"/>
        <w:widowControl w:val="0"/>
        <w:kinsoku/>
        <w:wordWrap/>
        <w:overflowPunct/>
        <w:topLinePunct w:val="0"/>
        <w:autoSpaceDE/>
        <w:autoSpaceDN/>
        <w:bidi w:val="0"/>
        <w:adjustRightInd w:val="0"/>
        <w:spacing w:before="93" w:line="590" w:lineRule="exact"/>
        <w:ind w:firstLine="693" w:firstLineChars="210"/>
        <w:contextualSpacing/>
        <w:textAlignment w:val="auto"/>
        <w:outlineLvl w:val="2"/>
        <w:rPr>
          <w:rFonts w:hint="eastAsia" w:ascii="宋体" w:hAnsi="宋体" w:eastAsia="方正仿宋_GBK" w:cs="方正仿宋_GBK"/>
          <w:color w:val="000000"/>
          <w:sz w:val="33"/>
          <w:szCs w:val="33"/>
        </w:rPr>
      </w:pPr>
      <w:r>
        <w:rPr>
          <w:rFonts w:hint="eastAsia" w:ascii="宋体" w:hAnsi="宋体" w:eastAsia="方正仿宋_GBK" w:cs="方正仿宋_GBK"/>
          <w:color w:val="000000"/>
          <w:sz w:val="33"/>
          <w:szCs w:val="33"/>
        </w:rPr>
        <w:t>10.负责全区对外经济合作工作，拟订并执行对外经济合作政策，依法管理和监督对外承包工程、对外劳务合作和出境就业等，承担境外投资管理的责任，牵头负责外派劳务和赴境外就业人员的权益保护工作，执行我区的国家对外援助任务，管理多双边对我区的无偿援助和赠款（不含财政合作项目下外国政府及国际金融组织对我区赠款）等发展合作业务。</w:t>
      </w:r>
    </w:p>
    <w:p>
      <w:pPr>
        <w:pStyle w:val="2"/>
        <w:keepNext w:val="0"/>
        <w:keepLines w:val="0"/>
        <w:pageBreakBefore w:val="0"/>
        <w:widowControl w:val="0"/>
        <w:kinsoku/>
        <w:wordWrap/>
        <w:overflowPunct/>
        <w:topLinePunct w:val="0"/>
        <w:autoSpaceDE/>
        <w:autoSpaceDN/>
        <w:bidi w:val="0"/>
        <w:adjustRightInd w:val="0"/>
        <w:spacing w:before="93" w:line="590" w:lineRule="exact"/>
        <w:ind w:firstLine="693" w:firstLineChars="210"/>
        <w:contextualSpacing/>
        <w:textAlignment w:val="auto"/>
        <w:outlineLvl w:val="2"/>
        <w:rPr>
          <w:rFonts w:hint="eastAsia" w:ascii="宋体" w:hAnsi="宋体" w:eastAsia="方正仿宋_GBK" w:cs="方正仿宋_GBK"/>
          <w:color w:val="000000"/>
          <w:sz w:val="33"/>
          <w:szCs w:val="33"/>
        </w:rPr>
      </w:pPr>
      <w:r>
        <w:rPr>
          <w:rFonts w:hint="eastAsia" w:ascii="宋体" w:hAnsi="宋体" w:eastAsia="方正仿宋_GBK" w:cs="方正仿宋_GBK"/>
          <w:color w:val="000000"/>
          <w:sz w:val="33"/>
          <w:szCs w:val="33"/>
        </w:rPr>
        <w:t>11.管理我区赴境外举办的各种商品交易会和经贸推介活动，指导监督管理以雁江区名义在境内举办的各种商贸交易会、展览会、展销会等活动。</w:t>
      </w:r>
    </w:p>
    <w:p>
      <w:pPr>
        <w:pStyle w:val="2"/>
        <w:keepNext w:val="0"/>
        <w:keepLines w:val="0"/>
        <w:pageBreakBefore w:val="0"/>
        <w:widowControl w:val="0"/>
        <w:kinsoku/>
        <w:wordWrap/>
        <w:overflowPunct/>
        <w:topLinePunct w:val="0"/>
        <w:autoSpaceDE/>
        <w:autoSpaceDN/>
        <w:bidi w:val="0"/>
        <w:adjustRightInd w:val="0"/>
        <w:spacing w:before="93" w:line="590" w:lineRule="exact"/>
        <w:ind w:firstLine="693" w:firstLineChars="210"/>
        <w:contextualSpacing/>
        <w:textAlignment w:val="auto"/>
        <w:outlineLvl w:val="2"/>
        <w:rPr>
          <w:rFonts w:hint="eastAsia" w:ascii="宋体" w:hAnsi="宋体" w:eastAsia="方正仿宋_GBK" w:cs="方正仿宋_GBK"/>
          <w:color w:val="000000"/>
          <w:sz w:val="33"/>
          <w:szCs w:val="33"/>
        </w:rPr>
      </w:pPr>
      <w:r>
        <w:rPr>
          <w:rFonts w:hint="eastAsia" w:ascii="宋体" w:hAnsi="宋体" w:eastAsia="方正仿宋_GBK" w:cs="方正仿宋_GBK"/>
          <w:color w:val="000000"/>
          <w:sz w:val="33"/>
          <w:szCs w:val="33"/>
        </w:rPr>
        <w:t>12.推动全区信息网络建设和电子商务发展。</w:t>
      </w:r>
    </w:p>
    <w:p>
      <w:pPr>
        <w:pStyle w:val="2"/>
        <w:keepNext w:val="0"/>
        <w:keepLines w:val="0"/>
        <w:pageBreakBefore w:val="0"/>
        <w:widowControl w:val="0"/>
        <w:kinsoku/>
        <w:wordWrap/>
        <w:overflowPunct/>
        <w:topLinePunct w:val="0"/>
        <w:autoSpaceDE/>
        <w:autoSpaceDN/>
        <w:bidi w:val="0"/>
        <w:adjustRightInd w:val="0"/>
        <w:spacing w:before="93" w:line="590" w:lineRule="exact"/>
        <w:ind w:firstLine="693" w:firstLineChars="210"/>
        <w:contextualSpacing/>
        <w:textAlignment w:val="auto"/>
        <w:outlineLvl w:val="2"/>
        <w:rPr>
          <w:rFonts w:hint="eastAsia" w:ascii="宋体" w:hAnsi="宋体" w:eastAsia="方正仿宋_GBK" w:cs="方正仿宋_GBK"/>
          <w:color w:val="000000"/>
          <w:sz w:val="33"/>
          <w:szCs w:val="33"/>
        </w:rPr>
      </w:pPr>
      <w:r>
        <w:rPr>
          <w:rFonts w:hint="eastAsia" w:ascii="宋体" w:hAnsi="宋体" w:eastAsia="方正仿宋_GBK" w:cs="方正仿宋_GBK"/>
          <w:color w:val="000000"/>
          <w:sz w:val="33"/>
          <w:szCs w:val="33"/>
        </w:rPr>
        <w:t>13.承担区政府公布的有关行政审批、行政许可事项。</w:t>
      </w:r>
    </w:p>
    <w:p>
      <w:pPr>
        <w:pStyle w:val="2"/>
        <w:keepNext w:val="0"/>
        <w:keepLines w:val="0"/>
        <w:pageBreakBefore w:val="0"/>
        <w:widowControl w:val="0"/>
        <w:kinsoku/>
        <w:wordWrap/>
        <w:overflowPunct/>
        <w:topLinePunct w:val="0"/>
        <w:autoSpaceDE/>
        <w:autoSpaceDN/>
        <w:bidi w:val="0"/>
        <w:adjustRightInd w:val="0"/>
        <w:spacing w:before="93" w:line="590" w:lineRule="exact"/>
        <w:ind w:firstLine="693" w:firstLineChars="210"/>
        <w:contextualSpacing/>
        <w:textAlignment w:val="auto"/>
        <w:outlineLvl w:val="2"/>
        <w:rPr>
          <w:rFonts w:hint="eastAsia" w:ascii="宋体" w:hAnsi="宋体" w:eastAsia="方正仿宋_GBK" w:cs="方正仿宋_GBK"/>
          <w:color w:val="000000"/>
          <w:sz w:val="33"/>
          <w:szCs w:val="33"/>
        </w:rPr>
      </w:pPr>
      <w:r>
        <w:rPr>
          <w:rFonts w:hint="eastAsia" w:ascii="宋体" w:hAnsi="宋体" w:eastAsia="方正仿宋_GBK" w:cs="方正仿宋_GBK"/>
          <w:color w:val="000000"/>
          <w:sz w:val="33"/>
          <w:szCs w:val="33"/>
        </w:rPr>
        <w:t>14.承办区政府交办的其他事项。</w:t>
      </w:r>
    </w:p>
    <w:p>
      <w:pPr>
        <w:keepNext w:val="0"/>
        <w:keepLines w:val="0"/>
        <w:pageBreakBefore w:val="0"/>
        <w:widowControl w:val="0"/>
        <w:kinsoku/>
        <w:wordWrap/>
        <w:overflowPunct/>
        <w:topLinePunct w:val="0"/>
        <w:autoSpaceDE/>
        <w:autoSpaceDN/>
        <w:bidi w:val="0"/>
        <w:spacing w:line="590" w:lineRule="exact"/>
        <w:ind w:firstLine="636" w:firstLineChars="192"/>
        <w:textAlignment w:val="auto"/>
        <w:rPr>
          <w:rFonts w:hint="eastAsia" w:ascii="方正楷体_GBK" w:hAnsi="方正楷体_GBK" w:eastAsia="方正楷体_GBK" w:cs="方正楷体_GBK"/>
          <w:b/>
          <w:sz w:val="33"/>
          <w:szCs w:val="33"/>
        </w:rPr>
      </w:pPr>
      <w:r>
        <w:rPr>
          <w:rFonts w:hint="eastAsia" w:ascii="方正楷体_GBK" w:hAnsi="方正楷体_GBK" w:eastAsia="方正楷体_GBK" w:cs="方正楷体_GBK"/>
          <w:b/>
          <w:sz w:val="33"/>
          <w:szCs w:val="33"/>
        </w:rPr>
        <w:t>（二）2024年重点工作</w:t>
      </w:r>
    </w:p>
    <w:p>
      <w:pPr>
        <w:keepNext w:val="0"/>
        <w:keepLines w:val="0"/>
        <w:pageBreakBefore w:val="0"/>
        <w:widowControl w:val="0"/>
        <w:kinsoku/>
        <w:wordWrap/>
        <w:overflowPunct/>
        <w:topLinePunct w:val="0"/>
        <w:autoSpaceDE/>
        <w:autoSpaceDN/>
        <w:bidi w:val="0"/>
        <w:spacing w:line="590" w:lineRule="exact"/>
        <w:ind w:firstLine="633" w:firstLineChars="192"/>
        <w:textAlignment w:val="auto"/>
        <w:rPr>
          <w:rFonts w:hint="eastAsia" w:ascii="宋体" w:hAnsi="宋体" w:eastAsia="方正仿宋_GBK" w:cs="方正仿宋_GBK"/>
          <w:b w:val="0"/>
          <w:bCs/>
          <w:color w:val="auto"/>
          <w:sz w:val="33"/>
          <w:szCs w:val="33"/>
          <w:highlight w:val="none"/>
          <w:lang w:val="en-US" w:eastAsia="zh-CN"/>
        </w:rPr>
      </w:pPr>
      <w:r>
        <w:rPr>
          <w:rFonts w:hint="eastAsia" w:ascii="宋体" w:hAnsi="宋体" w:eastAsia="方正仿宋_GBK" w:cs="方正仿宋_GBK"/>
          <w:sz w:val="33"/>
          <w:szCs w:val="33"/>
          <w:lang w:val="en-US" w:eastAsia="zh-CN"/>
        </w:rPr>
        <w:t>全面贯彻落实市委、区委决策部署，立足新发展阶段，贯彻“三化联动”发展理念，抢抓成渝地区双城经济圈建设重大战略机遇，着力推动全区商务工作高质量发展</w:t>
      </w:r>
      <w:r>
        <w:rPr>
          <w:rFonts w:hint="eastAsia" w:ascii="宋体" w:hAnsi="宋体" w:eastAsia="方正仿宋_GBK" w:cs="方正仿宋_GBK"/>
          <w:color w:val="0000FF"/>
          <w:sz w:val="33"/>
          <w:szCs w:val="33"/>
          <w:lang w:val="en-US" w:eastAsia="zh-CN"/>
        </w:rPr>
        <w:t>。</w:t>
      </w:r>
      <w:r>
        <w:rPr>
          <w:rFonts w:hint="eastAsia" w:ascii="宋体" w:hAnsi="宋体" w:eastAsia="方正仿宋_GBK" w:cs="方正仿宋_GBK"/>
          <w:b w:val="0"/>
          <w:bCs/>
          <w:color w:val="auto"/>
          <w:sz w:val="33"/>
          <w:szCs w:val="33"/>
          <w:highlight w:val="none"/>
          <w:lang w:val="en-US" w:eastAsia="zh-CN"/>
        </w:rPr>
        <w:t>2024年，结合国省经济发展态势，以及我区实际，初步谋划服务业增加值增速7%，</w:t>
      </w:r>
      <w:r>
        <w:rPr>
          <w:rFonts w:hint="eastAsia" w:ascii="宋体" w:hAnsi="宋体" w:eastAsia="方正仿宋_GBK" w:cs="方正仿宋_GBK"/>
          <w:color w:val="auto"/>
          <w:sz w:val="33"/>
          <w:szCs w:val="33"/>
        </w:rPr>
        <w:t>社会消费品零售总额</w:t>
      </w:r>
      <w:r>
        <w:rPr>
          <w:rFonts w:hint="eastAsia" w:ascii="宋体" w:hAnsi="宋体" w:eastAsia="方正仿宋_GBK" w:cs="方正仿宋_GBK"/>
          <w:color w:val="auto"/>
          <w:sz w:val="33"/>
          <w:szCs w:val="33"/>
          <w:lang w:val="en-US" w:eastAsia="zh-CN"/>
        </w:rPr>
        <w:t>增速8</w:t>
      </w:r>
      <w:r>
        <w:rPr>
          <w:rFonts w:hint="eastAsia" w:ascii="宋体" w:hAnsi="宋体" w:eastAsia="方正仿宋_GBK" w:cs="方正仿宋_GBK"/>
          <w:color w:val="auto"/>
          <w:sz w:val="33"/>
          <w:szCs w:val="33"/>
        </w:rPr>
        <w:t>%；</w:t>
      </w:r>
      <w:r>
        <w:rPr>
          <w:rFonts w:hint="eastAsia" w:ascii="宋体" w:hAnsi="宋体" w:eastAsia="方正仿宋_GBK" w:cs="方正仿宋_GBK"/>
          <w:b w:val="0"/>
          <w:bCs/>
          <w:color w:val="auto"/>
          <w:sz w:val="33"/>
          <w:szCs w:val="33"/>
          <w:highlight w:val="none"/>
          <w:lang w:val="en-US" w:eastAsia="zh-CN"/>
        </w:rPr>
        <w:t>外贸进出口总额实现3亿元。</w:t>
      </w:r>
    </w:p>
    <w:p>
      <w:pPr>
        <w:pStyle w:val="6"/>
        <w:keepNext w:val="0"/>
        <w:keepLines w:val="0"/>
        <w:pageBreakBefore w:val="0"/>
        <w:widowControl w:val="0"/>
        <w:pBdr>
          <w:top w:val="none" w:color="000000" w:sz="0" w:space="0"/>
          <w:left w:val="none" w:color="000000" w:sz="0" w:space="0"/>
          <w:bottom w:val="none" w:color="000000" w:sz="0" w:space="17"/>
          <w:right w:val="none" w:color="000000" w:sz="0" w:space="0"/>
        </w:pBdr>
        <w:kinsoku/>
        <w:wordWrap/>
        <w:overflowPunct/>
        <w:topLinePunct w:val="0"/>
        <w:autoSpaceDE/>
        <w:autoSpaceDN/>
        <w:bidi w:val="0"/>
        <w:adjustRightInd w:val="0"/>
        <w:snapToGrid/>
        <w:spacing w:beforeAutospacing="0" w:afterAutospacing="0" w:line="590" w:lineRule="exact"/>
        <w:ind w:firstLine="663" w:firstLineChars="200"/>
        <w:jc w:val="both"/>
        <w:textAlignment w:val="auto"/>
        <w:outlineLvl w:val="9"/>
        <w:rPr>
          <w:rFonts w:hint="eastAsia" w:ascii="宋体" w:hAnsi="宋体" w:eastAsia="方正仿宋_GBK" w:cs="方正仿宋_GBK"/>
          <w:kern w:val="0"/>
          <w:sz w:val="33"/>
          <w:szCs w:val="33"/>
        </w:rPr>
      </w:pPr>
      <w:r>
        <w:rPr>
          <w:rFonts w:hint="eastAsia" w:ascii="宋体" w:hAnsi="宋体" w:eastAsia="方正仿宋_GBK" w:cs="方正仿宋_GBK"/>
          <w:b/>
          <w:bCs/>
          <w:color w:val="000000"/>
          <w:kern w:val="0"/>
          <w:sz w:val="33"/>
          <w:szCs w:val="33"/>
          <w:lang w:val="en-US" w:eastAsia="zh-CN" w:bidi="ar-SA"/>
        </w:rPr>
        <w:t>1、提质增效，构建招商引资新格局。</w:t>
      </w:r>
      <w:r>
        <w:rPr>
          <w:rFonts w:hint="eastAsia" w:ascii="宋体" w:hAnsi="宋体" w:eastAsia="方正仿宋_GBK" w:cs="方正仿宋_GBK"/>
          <w:color w:val="000000"/>
          <w:kern w:val="0"/>
          <w:sz w:val="33"/>
          <w:szCs w:val="33"/>
          <w:lang w:val="en-US" w:eastAsia="zh-CN" w:bidi="ar-SA"/>
        </w:rPr>
        <w:t>一是进一步科学储备项目。二是进一步收集项目信息。三是进一步促签约项目履约开工。协助蜀道物流加强与市、区自规局对接，力争资阳低碳数字现代物流港项目方案9月下旬送区自规局、区专委会审核；跟进十方文化创意广场项目方案审核进度，力争9月底送区自规局局务会、区专委会审核，10月中旬送市自规局审核。</w:t>
      </w:r>
    </w:p>
    <w:p>
      <w:pPr>
        <w:pStyle w:val="6"/>
        <w:keepNext w:val="0"/>
        <w:keepLines w:val="0"/>
        <w:pageBreakBefore w:val="0"/>
        <w:widowControl w:val="0"/>
        <w:numPr>
          <w:ilvl w:val="0"/>
          <w:numId w:val="0"/>
        </w:numPr>
        <w:pBdr>
          <w:top w:val="none" w:color="000000" w:sz="0" w:space="0"/>
          <w:left w:val="none" w:color="000000" w:sz="0" w:space="0"/>
          <w:bottom w:val="none" w:color="000000" w:sz="0" w:space="17"/>
          <w:right w:val="none" w:color="000000" w:sz="0" w:space="0"/>
        </w:pBdr>
        <w:kinsoku/>
        <w:wordWrap/>
        <w:overflowPunct/>
        <w:topLinePunct w:val="0"/>
        <w:autoSpaceDE/>
        <w:autoSpaceDN/>
        <w:bidi w:val="0"/>
        <w:adjustRightInd w:val="0"/>
        <w:snapToGrid/>
        <w:spacing w:beforeAutospacing="0" w:afterAutospacing="0" w:line="590" w:lineRule="exact"/>
        <w:ind w:firstLine="663" w:firstLineChars="200"/>
        <w:jc w:val="both"/>
        <w:textAlignment w:val="auto"/>
        <w:outlineLvl w:val="9"/>
        <w:rPr>
          <w:rFonts w:hint="eastAsia" w:ascii="宋体" w:hAnsi="宋体" w:eastAsia="方正仿宋_GBK" w:cs="方正仿宋_GBK"/>
          <w:color w:val="000000"/>
          <w:kern w:val="0"/>
          <w:sz w:val="33"/>
          <w:szCs w:val="33"/>
          <w:lang w:val="en-US" w:eastAsia="zh-CN" w:bidi="ar-SA"/>
        </w:rPr>
      </w:pPr>
      <w:r>
        <w:rPr>
          <w:rFonts w:hint="eastAsia" w:ascii="宋体" w:hAnsi="宋体" w:eastAsia="方正仿宋_GBK" w:cs="方正仿宋_GBK"/>
          <w:b/>
          <w:bCs/>
          <w:color w:val="000000"/>
          <w:kern w:val="0"/>
          <w:sz w:val="33"/>
          <w:szCs w:val="33"/>
          <w:lang w:val="en-US" w:eastAsia="zh-CN" w:bidi="ar-SA"/>
        </w:rPr>
        <w:t>2、提档升级，释放商贸领域新动能。</w:t>
      </w:r>
      <w:r>
        <w:rPr>
          <w:rFonts w:hint="eastAsia" w:ascii="宋体" w:hAnsi="宋体" w:eastAsia="方正仿宋_GBK" w:cs="方正仿宋_GBK"/>
          <w:color w:val="000000"/>
          <w:kern w:val="0"/>
          <w:sz w:val="33"/>
          <w:szCs w:val="33"/>
          <w:lang w:val="en-US" w:eastAsia="zh-CN" w:bidi="ar-SA"/>
        </w:rPr>
        <w:t>举办小龙虾节、迎春购物节等地方特色节会活动，筹办数字生活节、家居展销节、汽车消费节等专题推介活动，形成“月月有活动、季季有展会”。以商圈打造营造多维消费场景。推进圣高特色美食商业街提质升级，加快希望城二期、十方文化创意商业广场项目加快推进。以夜间经济拓展消费层级。</w:t>
      </w:r>
    </w:p>
    <w:p>
      <w:pPr>
        <w:pStyle w:val="6"/>
        <w:keepNext w:val="0"/>
        <w:keepLines w:val="0"/>
        <w:pageBreakBefore w:val="0"/>
        <w:widowControl w:val="0"/>
        <w:numPr>
          <w:ilvl w:val="0"/>
          <w:numId w:val="0"/>
        </w:numPr>
        <w:pBdr>
          <w:top w:val="none" w:color="000000" w:sz="0" w:space="0"/>
          <w:left w:val="none" w:color="000000" w:sz="0" w:space="0"/>
          <w:bottom w:val="none" w:color="000000" w:sz="0" w:space="17"/>
          <w:right w:val="none" w:color="000000" w:sz="0" w:space="0"/>
        </w:pBdr>
        <w:kinsoku/>
        <w:wordWrap/>
        <w:overflowPunct/>
        <w:topLinePunct w:val="0"/>
        <w:autoSpaceDE/>
        <w:autoSpaceDN/>
        <w:bidi w:val="0"/>
        <w:adjustRightInd w:val="0"/>
        <w:snapToGrid/>
        <w:spacing w:beforeAutospacing="0" w:afterAutospacing="0" w:line="590" w:lineRule="exact"/>
        <w:ind w:firstLine="663" w:firstLineChars="200"/>
        <w:jc w:val="both"/>
        <w:textAlignment w:val="auto"/>
        <w:outlineLvl w:val="9"/>
        <w:rPr>
          <w:rFonts w:hint="eastAsia" w:ascii="宋体" w:hAnsi="宋体" w:eastAsia="方正仿宋_GBK" w:cs="方正仿宋_GBK"/>
          <w:color w:val="000000"/>
          <w:kern w:val="0"/>
          <w:sz w:val="33"/>
          <w:szCs w:val="33"/>
          <w:lang w:val="en-US" w:eastAsia="zh-CN" w:bidi="ar-SA"/>
        </w:rPr>
      </w:pPr>
      <w:r>
        <w:rPr>
          <w:rFonts w:hint="eastAsia" w:ascii="宋体" w:hAnsi="宋体" w:eastAsia="方正仿宋_GBK" w:cs="方正仿宋_GBK"/>
          <w:b/>
          <w:bCs/>
          <w:color w:val="000000"/>
          <w:kern w:val="0"/>
          <w:sz w:val="33"/>
          <w:szCs w:val="33"/>
          <w:lang w:val="en-US" w:eastAsia="zh-CN" w:bidi="ar-SA"/>
        </w:rPr>
        <w:t>3、提标扩面，拓展外贸发展新空间。</w:t>
      </w:r>
      <w:r>
        <w:rPr>
          <w:rFonts w:hint="eastAsia" w:ascii="宋体" w:hAnsi="宋体" w:eastAsia="方正仿宋_GBK" w:cs="方正仿宋_GBK"/>
          <w:color w:val="000000"/>
          <w:kern w:val="0"/>
          <w:sz w:val="33"/>
          <w:szCs w:val="33"/>
          <w:lang w:val="en-US" w:eastAsia="zh-CN" w:bidi="ar-SA"/>
        </w:rPr>
        <w:t>一是拓展新商机。深入推进“川行天下”系列展会活动，重点推动工艺品、食品加工、柑桔农产品等优质产业参加9月东盟博览会、11月第134届广交会等展会活动。二是提升优服务</w:t>
      </w:r>
      <w:r>
        <w:rPr>
          <w:rFonts w:hint="eastAsia" w:ascii="宋体" w:hAnsi="宋体" w:eastAsia="方正仿宋_GBK" w:cs="方正仿宋_GBK"/>
          <w:b/>
          <w:bCs/>
          <w:color w:val="000000"/>
          <w:kern w:val="0"/>
          <w:sz w:val="33"/>
          <w:szCs w:val="33"/>
          <w:lang w:val="en-US" w:eastAsia="zh-CN" w:bidi="ar-SA"/>
        </w:rPr>
        <w:t>。</w:t>
      </w:r>
      <w:r>
        <w:rPr>
          <w:rFonts w:hint="eastAsia" w:ascii="宋体" w:hAnsi="宋体" w:eastAsia="方正仿宋_GBK" w:cs="方正仿宋_GBK"/>
          <w:color w:val="000000"/>
          <w:kern w:val="0"/>
          <w:sz w:val="33"/>
          <w:szCs w:val="33"/>
          <w:lang w:val="en-US" w:eastAsia="zh-CN" w:bidi="ar-SA"/>
        </w:rPr>
        <w:t>持续开展优化营商环境行动，加强与内江海关等部门协调，持续跟进四川水南谷湾生态农业有限公司、丰裕冷链物流初加工园注册出境水果包装厂手续完成情况。</w:t>
      </w:r>
    </w:p>
    <w:p>
      <w:pPr>
        <w:pStyle w:val="6"/>
        <w:keepNext w:val="0"/>
        <w:keepLines w:val="0"/>
        <w:pageBreakBefore w:val="0"/>
        <w:widowControl w:val="0"/>
        <w:numPr>
          <w:ilvl w:val="0"/>
          <w:numId w:val="0"/>
        </w:numPr>
        <w:pBdr>
          <w:top w:val="none" w:color="000000" w:sz="0" w:space="0"/>
          <w:left w:val="none" w:color="000000" w:sz="0" w:space="0"/>
          <w:bottom w:val="none" w:color="000000" w:sz="0" w:space="17"/>
          <w:right w:val="none" w:color="000000" w:sz="0" w:space="0"/>
        </w:pBdr>
        <w:kinsoku/>
        <w:wordWrap/>
        <w:overflowPunct/>
        <w:topLinePunct w:val="0"/>
        <w:autoSpaceDE/>
        <w:autoSpaceDN/>
        <w:bidi w:val="0"/>
        <w:adjustRightInd w:val="0"/>
        <w:snapToGrid/>
        <w:spacing w:beforeAutospacing="0" w:afterAutospacing="0" w:line="590" w:lineRule="exact"/>
        <w:ind w:firstLine="660" w:firstLineChars="200"/>
        <w:jc w:val="both"/>
        <w:textAlignment w:val="auto"/>
        <w:outlineLvl w:val="9"/>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二、单位预算单位构成</w:t>
      </w:r>
    </w:p>
    <w:p>
      <w:pPr>
        <w:pStyle w:val="6"/>
        <w:keepNext w:val="0"/>
        <w:keepLines w:val="0"/>
        <w:pageBreakBefore w:val="0"/>
        <w:widowControl w:val="0"/>
        <w:numPr>
          <w:ilvl w:val="0"/>
          <w:numId w:val="0"/>
        </w:numPr>
        <w:pBdr>
          <w:top w:val="none" w:color="000000" w:sz="0" w:space="0"/>
          <w:left w:val="none" w:color="000000" w:sz="0" w:space="0"/>
          <w:bottom w:val="none" w:color="000000" w:sz="0" w:space="17"/>
          <w:right w:val="none" w:color="000000" w:sz="0" w:space="0"/>
        </w:pBdr>
        <w:kinsoku/>
        <w:wordWrap/>
        <w:overflowPunct/>
        <w:topLinePunct w:val="0"/>
        <w:autoSpaceDE/>
        <w:autoSpaceDN/>
        <w:bidi w:val="0"/>
        <w:adjustRightInd w:val="0"/>
        <w:snapToGrid/>
        <w:spacing w:beforeAutospacing="0" w:afterAutospacing="0" w:line="590" w:lineRule="exact"/>
        <w:ind w:firstLine="660" w:firstLineChars="200"/>
        <w:jc w:val="both"/>
        <w:textAlignment w:val="auto"/>
        <w:outlineLvl w:val="9"/>
        <w:rPr>
          <w:rFonts w:hint="eastAsia" w:ascii="宋体" w:hAnsi="宋体" w:eastAsia="方正仿宋_GBK" w:cs="方正仿宋_GBK"/>
          <w:color w:val="000000"/>
          <w:sz w:val="33"/>
          <w:szCs w:val="33"/>
        </w:rPr>
      </w:pPr>
      <w:r>
        <w:rPr>
          <w:rFonts w:hint="eastAsia" w:ascii="宋体" w:hAnsi="宋体" w:eastAsia="方正仿宋_GBK" w:cs="方正仿宋_GBK"/>
          <w:color w:val="000000"/>
          <w:sz w:val="33"/>
          <w:szCs w:val="33"/>
        </w:rPr>
        <w:t>商务局属于一级预算单位，</w:t>
      </w:r>
      <w:r>
        <w:rPr>
          <w:rFonts w:hint="eastAsia" w:ascii="宋体" w:hAnsi="宋体" w:eastAsia="方正仿宋_GBK" w:cs="方正仿宋_GBK"/>
          <w:sz w:val="33"/>
          <w:szCs w:val="33"/>
        </w:rPr>
        <w:t>无下属单位。</w:t>
      </w:r>
      <w:r>
        <w:rPr>
          <w:rFonts w:hint="eastAsia" w:ascii="宋体" w:hAnsi="宋体" w:eastAsia="方正仿宋_GBK" w:cs="方正仿宋_GBK"/>
          <w:color w:val="000000"/>
          <w:sz w:val="33"/>
          <w:szCs w:val="33"/>
        </w:rPr>
        <w:t>机关下设7个股室和一个中心：办公室、服务业发展股、市场体系建设股、外经贸股、电商股、市场秩序与政策法规股、市场运行与消费促进股、雁江区现代服务业发展中心。</w:t>
      </w:r>
    </w:p>
    <w:p>
      <w:pPr>
        <w:pStyle w:val="6"/>
        <w:keepNext w:val="0"/>
        <w:keepLines w:val="0"/>
        <w:pageBreakBefore w:val="0"/>
        <w:widowControl w:val="0"/>
        <w:numPr>
          <w:ilvl w:val="0"/>
          <w:numId w:val="0"/>
        </w:numPr>
        <w:pBdr>
          <w:top w:val="none" w:color="000000" w:sz="0" w:space="0"/>
          <w:left w:val="none" w:color="000000" w:sz="0" w:space="0"/>
          <w:bottom w:val="none" w:color="000000" w:sz="0" w:space="17"/>
          <w:right w:val="none" w:color="000000" w:sz="0" w:space="0"/>
        </w:pBdr>
        <w:kinsoku/>
        <w:wordWrap/>
        <w:overflowPunct/>
        <w:topLinePunct w:val="0"/>
        <w:autoSpaceDE/>
        <w:autoSpaceDN/>
        <w:bidi w:val="0"/>
        <w:adjustRightInd w:val="0"/>
        <w:snapToGrid/>
        <w:spacing w:beforeAutospacing="0" w:afterAutospacing="0" w:line="590" w:lineRule="exact"/>
        <w:ind w:firstLine="660" w:firstLineChars="200"/>
        <w:jc w:val="both"/>
        <w:textAlignment w:val="auto"/>
        <w:outlineLvl w:val="9"/>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lang w:eastAsia="zh-CN"/>
        </w:rPr>
        <w:t>三、</w:t>
      </w:r>
      <w:r>
        <w:rPr>
          <w:rFonts w:hint="eastAsia" w:ascii="方正黑体_GBK" w:hAnsi="方正黑体_GBK" w:eastAsia="方正黑体_GBK" w:cs="方正黑体_GBK"/>
          <w:sz w:val="33"/>
          <w:szCs w:val="33"/>
        </w:rPr>
        <w:t>收支预算情况说明</w:t>
      </w:r>
    </w:p>
    <w:p>
      <w:pPr>
        <w:pStyle w:val="6"/>
        <w:keepNext w:val="0"/>
        <w:keepLines w:val="0"/>
        <w:pageBreakBefore w:val="0"/>
        <w:widowControl w:val="0"/>
        <w:numPr>
          <w:ilvl w:val="0"/>
          <w:numId w:val="0"/>
        </w:numPr>
        <w:pBdr>
          <w:top w:val="none" w:color="000000" w:sz="0" w:space="0"/>
          <w:left w:val="none" w:color="000000" w:sz="0" w:space="0"/>
          <w:bottom w:val="none" w:color="000000" w:sz="0" w:space="17"/>
          <w:right w:val="none" w:color="000000" w:sz="0" w:space="0"/>
        </w:pBdr>
        <w:kinsoku/>
        <w:wordWrap/>
        <w:overflowPunct/>
        <w:topLinePunct w:val="0"/>
        <w:autoSpaceDE/>
        <w:autoSpaceDN/>
        <w:bidi w:val="0"/>
        <w:adjustRightInd w:val="0"/>
        <w:snapToGrid/>
        <w:spacing w:beforeAutospacing="0" w:afterAutospacing="0" w:line="590" w:lineRule="exact"/>
        <w:ind w:firstLine="660" w:firstLineChars="200"/>
        <w:jc w:val="both"/>
        <w:textAlignment w:val="auto"/>
        <w:outlineLvl w:val="9"/>
        <w:rPr>
          <w:rFonts w:hint="eastAsia" w:ascii="宋体" w:hAnsi="宋体" w:eastAsia="方正仿宋_GBK" w:cs="方正仿宋_GBK"/>
          <w:sz w:val="33"/>
          <w:szCs w:val="33"/>
        </w:rPr>
      </w:pPr>
      <w:r>
        <w:rPr>
          <w:rFonts w:hint="eastAsia" w:ascii="宋体" w:hAnsi="宋体" w:eastAsia="方正仿宋_GBK" w:cs="方正仿宋_GBK"/>
          <w:sz w:val="33"/>
          <w:szCs w:val="33"/>
        </w:rPr>
        <w:t>按照综合预算的原则，资阳市雁江区商务局所有收入和支出均纳入部门预算管理。收入包括：一般公共预算拨款收入</w:t>
      </w:r>
      <w:r>
        <w:rPr>
          <w:rFonts w:hint="eastAsia" w:ascii="宋体" w:hAnsi="宋体" w:eastAsia="方正仿宋_GBK" w:cs="方正仿宋_GBK"/>
          <w:sz w:val="33"/>
          <w:szCs w:val="33"/>
          <w:lang w:val="en-US" w:eastAsia="zh-CN"/>
        </w:rPr>
        <w:t>564.2</w:t>
      </w:r>
      <w:r>
        <w:rPr>
          <w:rFonts w:hint="eastAsia" w:ascii="宋体" w:hAnsi="宋体" w:eastAsia="方正仿宋_GBK" w:cs="方正仿宋_GBK"/>
          <w:sz w:val="33"/>
          <w:szCs w:val="33"/>
        </w:rPr>
        <w:t>万元；支出</w:t>
      </w:r>
      <w:r>
        <w:rPr>
          <w:rFonts w:hint="eastAsia" w:ascii="宋体" w:hAnsi="宋体" w:eastAsia="方正仿宋_GBK" w:cs="方正仿宋_GBK"/>
          <w:sz w:val="33"/>
          <w:szCs w:val="33"/>
          <w:lang w:val="en-US" w:eastAsia="zh-CN"/>
        </w:rPr>
        <w:t>564.2万元，</w:t>
      </w:r>
      <w:r>
        <w:rPr>
          <w:rFonts w:hint="eastAsia" w:ascii="宋体" w:hAnsi="宋体" w:eastAsia="方正仿宋_GBK" w:cs="方正仿宋_GBK"/>
          <w:sz w:val="33"/>
          <w:szCs w:val="33"/>
        </w:rPr>
        <w:t>包括：一般公共服务支出</w:t>
      </w:r>
      <w:r>
        <w:rPr>
          <w:rFonts w:hint="eastAsia" w:ascii="宋体" w:hAnsi="宋体" w:eastAsia="方正仿宋_GBK" w:cs="方正仿宋_GBK"/>
          <w:sz w:val="33"/>
          <w:szCs w:val="33"/>
          <w:lang w:val="en-US" w:eastAsia="zh-CN"/>
        </w:rPr>
        <w:t>476.03</w:t>
      </w:r>
      <w:r>
        <w:rPr>
          <w:rFonts w:hint="eastAsia" w:ascii="宋体" w:hAnsi="宋体" w:eastAsia="方正仿宋_GBK" w:cs="方正仿宋_GBK"/>
          <w:sz w:val="33"/>
          <w:szCs w:val="33"/>
        </w:rPr>
        <w:t>万元、社会保障和就业支出</w:t>
      </w:r>
      <w:r>
        <w:rPr>
          <w:rFonts w:hint="eastAsia" w:ascii="宋体" w:hAnsi="宋体" w:eastAsia="方正仿宋_GBK" w:cs="方正仿宋_GBK"/>
          <w:sz w:val="33"/>
          <w:szCs w:val="33"/>
          <w:lang w:val="en-US" w:eastAsia="zh-CN"/>
        </w:rPr>
        <w:t>39.41</w:t>
      </w:r>
      <w:r>
        <w:rPr>
          <w:rFonts w:hint="eastAsia" w:ascii="宋体" w:hAnsi="宋体" w:eastAsia="方正仿宋_GBK" w:cs="方正仿宋_GBK"/>
          <w:sz w:val="33"/>
          <w:szCs w:val="33"/>
        </w:rPr>
        <w:t>万元、卫生健康支出</w:t>
      </w:r>
      <w:r>
        <w:rPr>
          <w:rFonts w:hint="eastAsia" w:ascii="宋体" w:hAnsi="宋体" w:eastAsia="方正仿宋_GBK" w:cs="方正仿宋_GBK"/>
          <w:sz w:val="33"/>
          <w:szCs w:val="33"/>
          <w:lang w:val="en-US" w:eastAsia="zh-CN"/>
        </w:rPr>
        <w:t>16.03</w:t>
      </w:r>
      <w:r>
        <w:rPr>
          <w:rFonts w:hint="eastAsia" w:ascii="宋体" w:hAnsi="宋体" w:eastAsia="方正仿宋_GBK" w:cs="方正仿宋_GBK"/>
          <w:sz w:val="33"/>
          <w:szCs w:val="33"/>
        </w:rPr>
        <w:t>万元、住房保障支出</w:t>
      </w:r>
      <w:r>
        <w:rPr>
          <w:rFonts w:hint="eastAsia" w:ascii="宋体" w:hAnsi="宋体" w:eastAsia="方正仿宋_GBK" w:cs="方正仿宋_GBK"/>
          <w:sz w:val="33"/>
          <w:szCs w:val="33"/>
          <w:lang w:val="en-US" w:eastAsia="zh-CN"/>
        </w:rPr>
        <w:t>32.43</w:t>
      </w:r>
      <w:r>
        <w:rPr>
          <w:rFonts w:hint="eastAsia" w:ascii="宋体" w:hAnsi="宋体" w:eastAsia="方正仿宋_GBK" w:cs="方正仿宋_GBK"/>
          <w:sz w:val="33"/>
          <w:szCs w:val="33"/>
        </w:rPr>
        <w:t>万元。资阳市雁江区商务局202</w:t>
      </w:r>
      <w:r>
        <w:rPr>
          <w:rFonts w:hint="eastAsia" w:ascii="宋体" w:hAnsi="宋体" w:eastAsia="方正仿宋_GBK" w:cs="方正仿宋_GBK"/>
          <w:sz w:val="33"/>
          <w:szCs w:val="33"/>
          <w:lang w:val="en-US" w:eastAsia="zh-CN"/>
        </w:rPr>
        <w:t>4</w:t>
      </w:r>
      <w:r>
        <w:rPr>
          <w:rFonts w:hint="eastAsia" w:ascii="宋体" w:hAnsi="宋体" w:eastAsia="方正仿宋_GBK" w:cs="方正仿宋_GBK"/>
          <w:sz w:val="33"/>
          <w:szCs w:val="33"/>
        </w:rPr>
        <w:t>年收支总预算</w:t>
      </w:r>
      <w:r>
        <w:rPr>
          <w:rFonts w:hint="eastAsia" w:ascii="宋体" w:hAnsi="宋体" w:eastAsia="方正仿宋_GBK" w:cs="方正仿宋_GBK"/>
          <w:sz w:val="33"/>
          <w:szCs w:val="33"/>
          <w:lang w:val="en-US" w:eastAsia="zh-CN"/>
        </w:rPr>
        <w:t>564.2</w:t>
      </w:r>
      <w:r>
        <w:rPr>
          <w:rFonts w:hint="eastAsia" w:ascii="宋体" w:hAnsi="宋体" w:eastAsia="方正仿宋_GBK" w:cs="方正仿宋_GBK"/>
          <w:sz w:val="33"/>
          <w:szCs w:val="33"/>
        </w:rPr>
        <w:t>万元，比202</w:t>
      </w:r>
      <w:r>
        <w:rPr>
          <w:rFonts w:hint="eastAsia" w:ascii="宋体" w:hAnsi="宋体" w:eastAsia="方正仿宋_GBK" w:cs="方正仿宋_GBK"/>
          <w:sz w:val="33"/>
          <w:szCs w:val="33"/>
          <w:lang w:val="en-US" w:eastAsia="zh-CN"/>
        </w:rPr>
        <w:t>3</w:t>
      </w:r>
      <w:r>
        <w:rPr>
          <w:rFonts w:hint="eastAsia" w:ascii="宋体" w:hAnsi="宋体" w:eastAsia="方正仿宋_GBK" w:cs="方正仿宋_GBK"/>
          <w:sz w:val="33"/>
          <w:szCs w:val="33"/>
        </w:rPr>
        <w:t>年收支预算总数</w:t>
      </w:r>
      <w:r>
        <w:rPr>
          <w:rFonts w:hint="eastAsia" w:ascii="宋体" w:hAnsi="宋体" w:eastAsia="方正仿宋_GBK" w:cs="方正仿宋_GBK"/>
          <w:sz w:val="33"/>
          <w:szCs w:val="33"/>
          <w:lang w:val="en-US" w:eastAsia="zh-CN"/>
        </w:rPr>
        <w:t>减少51.18</w:t>
      </w:r>
      <w:r>
        <w:rPr>
          <w:rFonts w:hint="eastAsia" w:ascii="宋体" w:hAnsi="宋体" w:eastAsia="方正仿宋_GBK" w:cs="方正仿宋_GBK"/>
          <w:sz w:val="33"/>
          <w:szCs w:val="33"/>
        </w:rPr>
        <w:t>万元，主要原因是</w:t>
      </w:r>
      <w:r>
        <w:rPr>
          <w:rFonts w:hint="eastAsia" w:ascii="宋体" w:hAnsi="宋体" w:eastAsia="方正仿宋_GBK" w:cs="方正仿宋_GBK"/>
          <w:sz w:val="33"/>
          <w:szCs w:val="33"/>
          <w:lang w:val="en-US" w:eastAsia="zh-CN"/>
        </w:rPr>
        <w:t>一般公共服务支出减少</w:t>
      </w:r>
      <w:r>
        <w:rPr>
          <w:rFonts w:hint="eastAsia" w:ascii="宋体" w:hAnsi="宋体" w:eastAsia="方正仿宋_GBK" w:cs="方正仿宋_GBK"/>
          <w:sz w:val="33"/>
          <w:szCs w:val="33"/>
        </w:rPr>
        <w:t>。</w:t>
      </w:r>
    </w:p>
    <w:p>
      <w:pPr>
        <w:keepNext w:val="0"/>
        <w:keepLines w:val="0"/>
        <w:pageBreakBefore w:val="0"/>
        <w:widowControl w:val="0"/>
        <w:kinsoku/>
        <w:wordWrap/>
        <w:overflowPunct/>
        <w:topLinePunct w:val="0"/>
        <w:autoSpaceDE/>
        <w:autoSpaceDN/>
        <w:bidi w:val="0"/>
        <w:spacing w:line="590" w:lineRule="exact"/>
        <w:ind w:firstLine="636" w:firstLineChars="192"/>
        <w:textAlignment w:val="auto"/>
        <w:rPr>
          <w:rFonts w:hint="eastAsia" w:ascii="方正楷体_GBK" w:hAnsi="方正楷体_GBK" w:eastAsia="方正楷体_GBK" w:cs="方正楷体_GBK"/>
          <w:b/>
          <w:bCs w:val="0"/>
          <w:sz w:val="33"/>
          <w:szCs w:val="33"/>
        </w:rPr>
      </w:pPr>
      <w:r>
        <w:rPr>
          <w:rFonts w:hint="eastAsia" w:ascii="方正楷体_GBK" w:hAnsi="方正楷体_GBK" w:eastAsia="方正楷体_GBK" w:cs="方正楷体_GBK"/>
          <w:b/>
          <w:bCs w:val="0"/>
          <w:sz w:val="33"/>
          <w:szCs w:val="33"/>
        </w:rPr>
        <w:t>（一）收入预算情况</w:t>
      </w:r>
    </w:p>
    <w:p>
      <w:pPr>
        <w:keepNext w:val="0"/>
        <w:keepLines w:val="0"/>
        <w:pageBreakBefore w:val="0"/>
        <w:widowControl w:val="0"/>
        <w:kinsoku/>
        <w:wordWrap/>
        <w:overflowPunct/>
        <w:topLinePunct w:val="0"/>
        <w:autoSpaceDE/>
        <w:autoSpaceDN/>
        <w:bidi w:val="0"/>
        <w:spacing w:line="590" w:lineRule="exact"/>
        <w:ind w:firstLine="660" w:firstLineChars="20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2024年收入预</w:t>
      </w:r>
      <w:r>
        <w:rPr>
          <w:rFonts w:hint="eastAsia" w:ascii="宋体" w:hAnsi="宋体" w:eastAsia="方正仿宋_GBK" w:cs="方正仿宋_GBK"/>
          <w:sz w:val="33"/>
          <w:szCs w:val="33"/>
          <w:lang w:val="en-US" w:eastAsia="zh-CN"/>
        </w:rPr>
        <w:t>算564.2万元，其中：一般公共预算拨款收入564.2万元，占100%。</w:t>
      </w:r>
    </w:p>
    <w:p>
      <w:pPr>
        <w:keepNext w:val="0"/>
        <w:keepLines w:val="0"/>
        <w:pageBreakBefore w:val="0"/>
        <w:widowControl w:val="0"/>
        <w:kinsoku/>
        <w:wordWrap/>
        <w:overflowPunct/>
        <w:topLinePunct w:val="0"/>
        <w:autoSpaceDE/>
        <w:autoSpaceDN/>
        <w:bidi w:val="0"/>
        <w:spacing w:line="590" w:lineRule="exact"/>
        <w:ind w:firstLine="636" w:firstLineChars="192"/>
        <w:textAlignment w:val="auto"/>
        <w:rPr>
          <w:rFonts w:hint="eastAsia" w:ascii="方正楷体_GBK" w:hAnsi="方正楷体_GBK" w:eastAsia="方正楷体_GBK" w:cs="方正楷体_GBK"/>
          <w:b/>
          <w:bCs w:val="0"/>
          <w:sz w:val="33"/>
          <w:szCs w:val="33"/>
        </w:rPr>
      </w:pPr>
      <w:r>
        <w:rPr>
          <w:rFonts w:hint="eastAsia" w:ascii="方正楷体_GBK" w:hAnsi="方正楷体_GBK" w:eastAsia="方正楷体_GBK" w:cs="方正楷体_GBK"/>
          <w:b/>
          <w:bCs w:val="0"/>
          <w:sz w:val="33"/>
          <w:szCs w:val="33"/>
        </w:rPr>
        <w:t>（二）支出预算情况</w:t>
      </w:r>
    </w:p>
    <w:p>
      <w:pPr>
        <w:keepNext w:val="0"/>
        <w:keepLines w:val="0"/>
        <w:pageBreakBefore w:val="0"/>
        <w:widowControl w:val="0"/>
        <w:kinsoku/>
        <w:wordWrap/>
        <w:overflowPunct/>
        <w:topLinePunct w:val="0"/>
        <w:autoSpaceDE/>
        <w:autoSpaceDN/>
        <w:bidi w:val="0"/>
        <w:spacing w:line="590" w:lineRule="exact"/>
        <w:ind w:firstLine="660" w:firstLineChars="20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2024年支出预算</w:t>
      </w:r>
      <w:r>
        <w:rPr>
          <w:rFonts w:hint="eastAsia" w:ascii="宋体" w:hAnsi="宋体" w:eastAsia="方正仿宋_GBK" w:cs="方正仿宋_GBK"/>
          <w:sz w:val="33"/>
          <w:szCs w:val="33"/>
          <w:lang w:val="en-US" w:eastAsia="zh-CN"/>
        </w:rPr>
        <w:t>564.2万元，其中：基本支出397.6万元，占70%；项目支出166.6万元，占30%</w:t>
      </w:r>
      <w:r>
        <w:rPr>
          <w:rFonts w:hint="eastAsia" w:ascii="宋体" w:hAnsi="宋体" w:eastAsia="方正仿宋_GBK" w:cs="方正仿宋_GBK"/>
          <w:sz w:val="33"/>
          <w:szCs w:val="33"/>
        </w:rPr>
        <w:t>。</w:t>
      </w:r>
    </w:p>
    <w:p>
      <w:pPr>
        <w:keepNext w:val="0"/>
        <w:keepLines w:val="0"/>
        <w:pageBreakBefore w:val="0"/>
        <w:widowControl w:val="0"/>
        <w:kinsoku/>
        <w:wordWrap/>
        <w:overflowPunct/>
        <w:topLinePunct w:val="0"/>
        <w:autoSpaceDE/>
        <w:autoSpaceDN/>
        <w:bidi w:val="0"/>
        <w:spacing w:line="590" w:lineRule="exact"/>
        <w:ind w:firstLine="660" w:firstLineChars="200"/>
        <w:textAlignment w:val="auto"/>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四、财政拨款收支预算情况说明</w:t>
      </w:r>
    </w:p>
    <w:p>
      <w:pPr>
        <w:keepNext w:val="0"/>
        <w:keepLines w:val="0"/>
        <w:pageBreakBefore w:val="0"/>
        <w:widowControl w:val="0"/>
        <w:kinsoku/>
        <w:wordWrap/>
        <w:overflowPunct/>
        <w:topLinePunct w:val="0"/>
        <w:autoSpaceDE/>
        <w:autoSpaceDN/>
        <w:bidi w:val="0"/>
        <w:spacing w:line="590" w:lineRule="exact"/>
        <w:ind w:firstLine="660" w:firstLineChars="200"/>
        <w:textAlignment w:val="auto"/>
        <w:rPr>
          <w:rFonts w:hint="eastAsia" w:ascii="宋体" w:hAnsi="宋体" w:eastAsia="方正仿宋_GBK" w:cs="方正仿宋_GBK"/>
          <w:sz w:val="33"/>
          <w:szCs w:val="33"/>
          <w:lang w:val="en-US" w:eastAsia="zh-CN"/>
        </w:rPr>
      </w:pPr>
      <w:r>
        <w:rPr>
          <w:rFonts w:hint="eastAsia" w:ascii="宋体" w:hAnsi="宋体" w:eastAsia="方正仿宋_GBK" w:cs="方正仿宋_GBK"/>
          <w:sz w:val="33"/>
          <w:szCs w:val="33"/>
        </w:rPr>
        <w:t>2024年财政拨款收支总预算</w:t>
      </w:r>
      <w:r>
        <w:rPr>
          <w:rFonts w:hint="eastAsia" w:ascii="宋体" w:hAnsi="宋体" w:eastAsia="方正仿宋_GBK" w:cs="方正仿宋_GBK"/>
          <w:sz w:val="33"/>
          <w:szCs w:val="33"/>
          <w:lang w:val="en-US" w:eastAsia="zh-CN"/>
        </w:rPr>
        <w:t>564.2万元，比2023年财政拨款收支总预算减少51.18万元，主要原因是一般公共服务支出减少。</w:t>
      </w:r>
    </w:p>
    <w:p>
      <w:pPr>
        <w:keepNext w:val="0"/>
        <w:keepLines w:val="0"/>
        <w:pageBreakBefore w:val="0"/>
        <w:widowControl w:val="0"/>
        <w:kinsoku/>
        <w:wordWrap/>
        <w:overflowPunct/>
        <w:topLinePunct w:val="0"/>
        <w:autoSpaceDE/>
        <w:autoSpaceDN/>
        <w:bidi w:val="0"/>
        <w:spacing w:line="590" w:lineRule="exact"/>
        <w:ind w:firstLine="660" w:firstLineChars="20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lang w:val="en-US" w:eastAsia="zh-CN"/>
        </w:rPr>
        <w:t>收入包括：本年一般公共预算拨款收入564.2万</w:t>
      </w:r>
      <w:r>
        <w:rPr>
          <w:rFonts w:hint="eastAsia" w:ascii="宋体" w:hAnsi="宋体" w:eastAsia="方正仿宋_GBK" w:cs="方正仿宋_GBK"/>
          <w:sz w:val="33"/>
          <w:szCs w:val="33"/>
        </w:rPr>
        <w:t>元；支出包括：一般公共服务支出</w:t>
      </w:r>
      <w:r>
        <w:rPr>
          <w:rFonts w:hint="eastAsia" w:ascii="宋体" w:hAnsi="宋体" w:eastAsia="方正仿宋_GBK" w:cs="方正仿宋_GBK"/>
          <w:sz w:val="33"/>
          <w:szCs w:val="33"/>
          <w:lang w:val="en-US" w:eastAsia="zh-CN"/>
        </w:rPr>
        <w:t>476.03</w:t>
      </w:r>
      <w:r>
        <w:rPr>
          <w:rFonts w:hint="eastAsia" w:ascii="宋体" w:hAnsi="宋体" w:eastAsia="方正仿宋_GBK" w:cs="方正仿宋_GBK"/>
          <w:sz w:val="33"/>
          <w:szCs w:val="33"/>
        </w:rPr>
        <w:t>万元、社会保障和就业支出</w:t>
      </w:r>
      <w:r>
        <w:rPr>
          <w:rFonts w:hint="eastAsia" w:ascii="宋体" w:hAnsi="宋体" w:eastAsia="方正仿宋_GBK" w:cs="方正仿宋_GBK"/>
          <w:sz w:val="33"/>
          <w:szCs w:val="33"/>
          <w:lang w:val="en-US" w:eastAsia="zh-CN"/>
        </w:rPr>
        <w:t>39.41</w:t>
      </w:r>
      <w:r>
        <w:rPr>
          <w:rFonts w:hint="eastAsia" w:ascii="宋体" w:hAnsi="宋体" w:eastAsia="方正仿宋_GBK" w:cs="方正仿宋_GBK"/>
          <w:sz w:val="33"/>
          <w:szCs w:val="33"/>
        </w:rPr>
        <w:t>万元、卫生健康支出</w:t>
      </w:r>
      <w:r>
        <w:rPr>
          <w:rFonts w:hint="eastAsia" w:ascii="宋体" w:hAnsi="宋体" w:eastAsia="方正仿宋_GBK" w:cs="方正仿宋_GBK"/>
          <w:sz w:val="33"/>
          <w:szCs w:val="33"/>
          <w:lang w:val="en-US" w:eastAsia="zh-CN"/>
        </w:rPr>
        <w:t>16.03</w:t>
      </w:r>
      <w:r>
        <w:rPr>
          <w:rFonts w:hint="eastAsia" w:ascii="宋体" w:hAnsi="宋体" w:eastAsia="方正仿宋_GBK" w:cs="方正仿宋_GBK"/>
          <w:sz w:val="33"/>
          <w:szCs w:val="33"/>
        </w:rPr>
        <w:t>万元、住房保障支出</w:t>
      </w:r>
      <w:r>
        <w:rPr>
          <w:rFonts w:hint="eastAsia" w:ascii="宋体" w:hAnsi="宋体" w:eastAsia="方正仿宋_GBK" w:cs="方正仿宋_GBK"/>
          <w:sz w:val="33"/>
          <w:szCs w:val="33"/>
          <w:lang w:val="en-US" w:eastAsia="zh-CN"/>
        </w:rPr>
        <w:t>32.43</w:t>
      </w:r>
      <w:r>
        <w:rPr>
          <w:rFonts w:hint="eastAsia" w:ascii="宋体" w:hAnsi="宋体" w:eastAsia="方正仿宋_GBK" w:cs="方正仿宋_GBK"/>
          <w:sz w:val="33"/>
          <w:szCs w:val="33"/>
        </w:rPr>
        <w:t>万元。</w:t>
      </w:r>
    </w:p>
    <w:p>
      <w:pPr>
        <w:keepNext w:val="0"/>
        <w:keepLines w:val="0"/>
        <w:pageBreakBefore w:val="0"/>
        <w:widowControl w:val="0"/>
        <w:kinsoku/>
        <w:wordWrap/>
        <w:overflowPunct/>
        <w:topLinePunct w:val="0"/>
        <w:autoSpaceDE/>
        <w:autoSpaceDN/>
        <w:bidi w:val="0"/>
        <w:spacing w:line="590" w:lineRule="exact"/>
        <w:ind w:firstLine="660" w:firstLineChars="200"/>
        <w:textAlignment w:val="auto"/>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五、一般公共预算当年拨款情况说明</w:t>
      </w:r>
    </w:p>
    <w:p>
      <w:pPr>
        <w:keepNext w:val="0"/>
        <w:keepLines w:val="0"/>
        <w:pageBreakBefore w:val="0"/>
        <w:widowControl w:val="0"/>
        <w:kinsoku/>
        <w:wordWrap/>
        <w:overflowPunct/>
        <w:topLinePunct w:val="0"/>
        <w:autoSpaceDE/>
        <w:autoSpaceDN/>
        <w:bidi w:val="0"/>
        <w:spacing w:line="590" w:lineRule="exact"/>
        <w:ind w:firstLine="636" w:firstLineChars="192"/>
        <w:textAlignment w:val="auto"/>
        <w:rPr>
          <w:rFonts w:hint="eastAsia" w:ascii="方正楷体_GBK" w:hAnsi="方正楷体_GBK" w:eastAsia="方正楷体_GBK" w:cs="方正楷体_GBK"/>
          <w:b/>
          <w:sz w:val="33"/>
          <w:szCs w:val="33"/>
        </w:rPr>
      </w:pPr>
      <w:r>
        <w:rPr>
          <w:rFonts w:hint="eastAsia" w:ascii="方正楷体_GBK" w:hAnsi="方正楷体_GBK" w:eastAsia="方正楷体_GBK" w:cs="方正楷体_GBK"/>
          <w:b/>
          <w:sz w:val="33"/>
          <w:szCs w:val="33"/>
        </w:rPr>
        <w:t>（一）一般公共预算当年拨款规模变化情况</w:t>
      </w:r>
    </w:p>
    <w:p>
      <w:pPr>
        <w:keepNext w:val="0"/>
        <w:keepLines w:val="0"/>
        <w:pageBreakBefore w:val="0"/>
        <w:widowControl w:val="0"/>
        <w:kinsoku/>
        <w:wordWrap/>
        <w:overflowPunct/>
        <w:topLinePunct w:val="0"/>
        <w:autoSpaceDE/>
        <w:autoSpaceDN/>
        <w:bidi w:val="0"/>
        <w:spacing w:line="590" w:lineRule="exact"/>
        <w:ind w:firstLine="660" w:firstLineChars="20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2024年一</w:t>
      </w:r>
      <w:r>
        <w:rPr>
          <w:rFonts w:hint="eastAsia" w:ascii="宋体" w:hAnsi="宋体" w:eastAsia="方正仿宋_GBK" w:cs="方正仿宋_GBK"/>
          <w:sz w:val="33"/>
          <w:szCs w:val="33"/>
          <w:lang w:val="en-US" w:eastAsia="zh-CN"/>
        </w:rPr>
        <w:t>般公共预算当年拨款564.2万元，比2023年预算数减少51.18万</w:t>
      </w:r>
      <w:r>
        <w:rPr>
          <w:rFonts w:hint="eastAsia" w:ascii="宋体" w:hAnsi="宋体" w:eastAsia="方正仿宋_GBK" w:cs="方正仿宋_GBK"/>
          <w:sz w:val="33"/>
          <w:szCs w:val="33"/>
        </w:rPr>
        <w:t>元。主要原因是</w:t>
      </w:r>
      <w:r>
        <w:rPr>
          <w:rFonts w:hint="eastAsia" w:ascii="宋体" w:hAnsi="宋体" w:eastAsia="方正仿宋_GBK" w:cs="方正仿宋_GBK"/>
          <w:sz w:val="33"/>
          <w:szCs w:val="33"/>
          <w:lang w:val="en-US" w:eastAsia="zh-CN"/>
        </w:rPr>
        <w:t>一般公共服务支出减少</w:t>
      </w:r>
      <w:r>
        <w:rPr>
          <w:rFonts w:hint="eastAsia" w:ascii="宋体" w:hAnsi="宋体" w:eastAsia="方正仿宋_GBK" w:cs="方正仿宋_GBK"/>
          <w:sz w:val="33"/>
          <w:szCs w:val="33"/>
        </w:rPr>
        <w:t>。</w:t>
      </w:r>
    </w:p>
    <w:p>
      <w:pPr>
        <w:keepNext w:val="0"/>
        <w:keepLines w:val="0"/>
        <w:pageBreakBefore w:val="0"/>
        <w:widowControl w:val="0"/>
        <w:kinsoku/>
        <w:wordWrap/>
        <w:overflowPunct/>
        <w:topLinePunct w:val="0"/>
        <w:autoSpaceDE/>
        <w:autoSpaceDN/>
        <w:bidi w:val="0"/>
        <w:spacing w:line="590" w:lineRule="exact"/>
        <w:ind w:firstLine="636" w:firstLineChars="192"/>
        <w:textAlignment w:val="auto"/>
        <w:rPr>
          <w:rFonts w:hint="eastAsia" w:ascii="方正楷体_GBK" w:hAnsi="方正楷体_GBK" w:eastAsia="方正楷体_GBK" w:cs="方正楷体_GBK"/>
          <w:b/>
          <w:sz w:val="33"/>
          <w:szCs w:val="33"/>
        </w:rPr>
      </w:pPr>
      <w:r>
        <w:rPr>
          <w:rFonts w:hint="eastAsia" w:ascii="方正楷体_GBK" w:hAnsi="方正楷体_GBK" w:eastAsia="方正楷体_GBK" w:cs="方正楷体_GBK"/>
          <w:b/>
          <w:sz w:val="33"/>
          <w:szCs w:val="33"/>
        </w:rPr>
        <w:t>（二）一般公共预算当年拨款结构情况</w:t>
      </w:r>
    </w:p>
    <w:p>
      <w:pPr>
        <w:keepNext w:val="0"/>
        <w:keepLines w:val="0"/>
        <w:pageBreakBefore w:val="0"/>
        <w:widowControl w:val="0"/>
        <w:kinsoku/>
        <w:wordWrap/>
        <w:overflowPunct/>
        <w:topLinePunct w:val="0"/>
        <w:autoSpaceDE/>
        <w:autoSpaceDN/>
        <w:bidi w:val="0"/>
        <w:spacing w:line="590" w:lineRule="exact"/>
        <w:ind w:firstLine="660" w:firstLineChars="20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一般公共服务支出</w:t>
      </w:r>
      <w:r>
        <w:rPr>
          <w:rFonts w:hint="eastAsia" w:ascii="宋体" w:hAnsi="宋体" w:eastAsia="方正仿宋_GBK" w:cs="方正仿宋_GBK"/>
          <w:sz w:val="33"/>
          <w:szCs w:val="33"/>
          <w:lang w:val="en-US" w:eastAsia="zh-CN"/>
        </w:rPr>
        <w:t>476.03</w:t>
      </w:r>
      <w:r>
        <w:rPr>
          <w:rFonts w:hint="eastAsia" w:ascii="宋体" w:hAnsi="宋体" w:eastAsia="方正仿宋_GBK" w:cs="方正仿宋_GBK"/>
          <w:sz w:val="33"/>
          <w:szCs w:val="33"/>
        </w:rPr>
        <w:t>万元、</w:t>
      </w:r>
      <w:r>
        <w:rPr>
          <w:rFonts w:hint="eastAsia" w:ascii="宋体" w:hAnsi="宋体" w:eastAsia="方正仿宋_GBK" w:cs="方正仿宋_GBK"/>
          <w:sz w:val="33"/>
          <w:szCs w:val="33"/>
          <w:lang w:val="en-US" w:eastAsia="zh-CN"/>
        </w:rPr>
        <w:t>占84.37%；</w:t>
      </w:r>
      <w:r>
        <w:rPr>
          <w:rFonts w:hint="eastAsia" w:ascii="宋体" w:hAnsi="宋体" w:eastAsia="方正仿宋_GBK" w:cs="方正仿宋_GBK"/>
          <w:sz w:val="33"/>
          <w:szCs w:val="33"/>
        </w:rPr>
        <w:t>社会保障和就业支出</w:t>
      </w:r>
      <w:r>
        <w:rPr>
          <w:rFonts w:hint="eastAsia" w:ascii="宋体" w:hAnsi="宋体" w:eastAsia="方正仿宋_GBK" w:cs="方正仿宋_GBK"/>
          <w:sz w:val="33"/>
          <w:szCs w:val="33"/>
          <w:lang w:val="en-US" w:eastAsia="zh-CN"/>
        </w:rPr>
        <w:t>39.41</w:t>
      </w:r>
      <w:r>
        <w:rPr>
          <w:rFonts w:hint="eastAsia" w:ascii="宋体" w:hAnsi="宋体" w:eastAsia="方正仿宋_GBK" w:cs="方正仿宋_GBK"/>
          <w:sz w:val="33"/>
          <w:szCs w:val="33"/>
        </w:rPr>
        <w:t>万元、</w:t>
      </w:r>
      <w:r>
        <w:rPr>
          <w:rFonts w:hint="eastAsia" w:ascii="宋体" w:hAnsi="宋体" w:eastAsia="方正仿宋_GBK" w:cs="方正仿宋_GBK"/>
          <w:sz w:val="33"/>
          <w:szCs w:val="33"/>
          <w:lang w:val="en-US" w:eastAsia="zh-CN"/>
        </w:rPr>
        <w:t>占7.04%；</w:t>
      </w:r>
      <w:r>
        <w:rPr>
          <w:rFonts w:hint="eastAsia" w:ascii="宋体" w:hAnsi="宋体" w:eastAsia="方正仿宋_GBK" w:cs="方正仿宋_GBK"/>
          <w:sz w:val="33"/>
          <w:szCs w:val="33"/>
        </w:rPr>
        <w:t>卫生健康支出</w:t>
      </w:r>
      <w:r>
        <w:rPr>
          <w:rFonts w:hint="eastAsia" w:ascii="宋体" w:hAnsi="宋体" w:eastAsia="方正仿宋_GBK" w:cs="方正仿宋_GBK"/>
          <w:sz w:val="33"/>
          <w:szCs w:val="33"/>
          <w:lang w:val="en-US" w:eastAsia="zh-CN"/>
        </w:rPr>
        <w:t>16.03</w:t>
      </w:r>
      <w:r>
        <w:rPr>
          <w:rFonts w:hint="eastAsia" w:ascii="宋体" w:hAnsi="宋体" w:eastAsia="方正仿宋_GBK" w:cs="方正仿宋_GBK"/>
          <w:sz w:val="33"/>
          <w:szCs w:val="33"/>
        </w:rPr>
        <w:t>万元、</w:t>
      </w:r>
      <w:r>
        <w:rPr>
          <w:rFonts w:hint="eastAsia" w:ascii="宋体" w:hAnsi="宋体" w:eastAsia="方正仿宋_GBK" w:cs="方正仿宋_GBK"/>
          <w:sz w:val="33"/>
          <w:szCs w:val="33"/>
          <w:lang w:val="en-US" w:eastAsia="zh-CN"/>
        </w:rPr>
        <w:t>占2.84%；</w:t>
      </w:r>
      <w:r>
        <w:rPr>
          <w:rFonts w:hint="eastAsia" w:ascii="宋体" w:hAnsi="宋体" w:eastAsia="方正仿宋_GBK" w:cs="方正仿宋_GBK"/>
          <w:sz w:val="33"/>
          <w:szCs w:val="33"/>
        </w:rPr>
        <w:t>住房保障支出</w:t>
      </w:r>
      <w:r>
        <w:rPr>
          <w:rFonts w:hint="eastAsia" w:ascii="宋体" w:hAnsi="宋体" w:eastAsia="方正仿宋_GBK" w:cs="方正仿宋_GBK"/>
          <w:sz w:val="33"/>
          <w:szCs w:val="33"/>
          <w:lang w:val="en-US" w:eastAsia="zh-CN"/>
        </w:rPr>
        <w:t>32.43</w:t>
      </w:r>
      <w:r>
        <w:rPr>
          <w:rFonts w:hint="eastAsia" w:ascii="宋体" w:hAnsi="宋体" w:eastAsia="方正仿宋_GBK" w:cs="方正仿宋_GBK"/>
          <w:sz w:val="33"/>
          <w:szCs w:val="33"/>
        </w:rPr>
        <w:t>万元</w:t>
      </w:r>
      <w:r>
        <w:rPr>
          <w:rFonts w:hint="eastAsia" w:ascii="宋体" w:hAnsi="宋体" w:eastAsia="方正仿宋_GBK" w:cs="方正仿宋_GBK"/>
          <w:sz w:val="33"/>
          <w:szCs w:val="33"/>
          <w:lang w:eastAsia="zh-CN"/>
        </w:rPr>
        <w:t>、</w:t>
      </w:r>
      <w:r>
        <w:rPr>
          <w:rFonts w:hint="eastAsia" w:ascii="宋体" w:hAnsi="宋体" w:eastAsia="方正仿宋_GBK" w:cs="方正仿宋_GBK"/>
          <w:sz w:val="33"/>
          <w:szCs w:val="33"/>
          <w:lang w:val="en-US" w:eastAsia="zh-CN"/>
        </w:rPr>
        <w:t>占5.75%</w:t>
      </w:r>
      <w:r>
        <w:rPr>
          <w:rFonts w:hint="eastAsia" w:ascii="宋体" w:hAnsi="宋体" w:eastAsia="方正仿宋_GBK" w:cs="方正仿宋_GBK"/>
          <w:sz w:val="33"/>
          <w:szCs w:val="33"/>
        </w:rPr>
        <w:t>。</w:t>
      </w:r>
    </w:p>
    <w:p>
      <w:pPr>
        <w:keepNext w:val="0"/>
        <w:keepLines w:val="0"/>
        <w:pageBreakBefore w:val="0"/>
        <w:widowControl w:val="0"/>
        <w:kinsoku/>
        <w:wordWrap/>
        <w:overflowPunct/>
        <w:topLinePunct w:val="0"/>
        <w:autoSpaceDE/>
        <w:autoSpaceDN/>
        <w:bidi w:val="0"/>
        <w:spacing w:line="590" w:lineRule="exact"/>
        <w:ind w:firstLine="636" w:firstLineChars="192"/>
        <w:textAlignment w:val="auto"/>
        <w:rPr>
          <w:rFonts w:hint="eastAsia" w:ascii="方正楷体_GBK" w:hAnsi="方正楷体_GBK" w:eastAsia="方正楷体_GBK" w:cs="方正楷体_GBK"/>
          <w:b/>
          <w:sz w:val="33"/>
          <w:szCs w:val="33"/>
        </w:rPr>
      </w:pPr>
      <w:r>
        <w:rPr>
          <w:rFonts w:hint="eastAsia" w:ascii="方正楷体_GBK" w:hAnsi="方正楷体_GBK" w:eastAsia="方正楷体_GBK" w:cs="方正楷体_GBK"/>
          <w:b/>
          <w:sz w:val="33"/>
          <w:szCs w:val="33"/>
        </w:rPr>
        <w:t>（三）一般公共预算当年拨款具体使用情况</w:t>
      </w:r>
    </w:p>
    <w:p>
      <w:pPr>
        <w:keepNext w:val="0"/>
        <w:keepLines w:val="0"/>
        <w:pageBreakBefore w:val="0"/>
        <w:widowControl w:val="0"/>
        <w:kinsoku/>
        <w:wordWrap/>
        <w:overflowPunct/>
        <w:topLinePunct w:val="0"/>
        <w:autoSpaceDE/>
        <w:autoSpaceDN/>
        <w:bidi w:val="0"/>
        <w:adjustRightInd w:val="0"/>
        <w:spacing w:line="590" w:lineRule="exact"/>
        <w:ind w:firstLine="660" w:firstLineChars="200"/>
        <w:contextualSpacing/>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1.一般公共服务（类）商贸事务（款）行政运行（项）：202</w:t>
      </w:r>
      <w:r>
        <w:rPr>
          <w:rFonts w:hint="eastAsia" w:ascii="宋体" w:hAnsi="宋体" w:eastAsia="方正仿宋_GBK" w:cs="方正仿宋_GBK"/>
          <w:sz w:val="33"/>
          <w:szCs w:val="33"/>
          <w:lang w:val="en-US" w:eastAsia="zh-CN"/>
        </w:rPr>
        <w:t>4</w:t>
      </w:r>
      <w:r>
        <w:rPr>
          <w:rFonts w:hint="eastAsia" w:ascii="宋体" w:hAnsi="宋体" w:eastAsia="方正仿宋_GBK" w:cs="方正仿宋_GBK"/>
          <w:sz w:val="33"/>
          <w:szCs w:val="33"/>
        </w:rPr>
        <w:t>年预算数为</w:t>
      </w:r>
      <w:r>
        <w:rPr>
          <w:rFonts w:hint="eastAsia" w:ascii="宋体" w:hAnsi="宋体" w:eastAsia="方正仿宋_GBK" w:cs="方正仿宋_GBK"/>
          <w:sz w:val="33"/>
          <w:szCs w:val="33"/>
          <w:lang w:val="en-US" w:eastAsia="zh-CN"/>
        </w:rPr>
        <w:t>252.16</w:t>
      </w:r>
      <w:r>
        <w:rPr>
          <w:rFonts w:hint="eastAsia" w:ascii="宋体" w:hAnsi="宋体" w:eastAsia="方正仿宋_GBK" w:cs="方正仿宋_GBK"/>
          <w:sz w:val="33"/>
          <w:szCs w:val="33"/>
        </w:rPr>
        <w:t>万元，主要用于：局机关及参公管理事业单位正常运转的基本支出，包括基本工资、津贴补贴等人员经费以及办公费、印刷费、水电费等日常公用经费。</w:t>
      </w:r>
    </w:p>
    <w:p>
      <w:pPr>
        <w:keepNext w:val="0"/>
        <w:keepLines w:val="0"/>
        <w:pageBreakBefore w:val="0"/>
        <w:widowControl w:val="0"/>
        <w:kinsoku/>
        <w:wordWrap/>
        <w:overflowPunct/>
        <w:topLinePunct w:val="0"/>
        <w:autoSpaceDE/>
        <w:autoSpaceDN/>
        <w:bidi w:val="0"/>
        <w:adjustRightInd w:val="0"/>
        <w:spacing w:line="590" w:lineRule="exact"/>
        <w:ind w:firstLine="660"/>
        <w:contextualSpacing/>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2.一般公共服务（类）商贸事务（款）一般行政管理事务（项）：202</w:t>
      </w:r>
      <w:r>
        <w:rPr>
          <w:rFonts w:hint="eastAsia" w:ascii="宋体" w:hAnsi="宋体" w:eastAsia="方正仿宋_GBK" w:cs="方正仿宋_GBK"/>
          <w:sz w:val="33"/>
          <w:szCs w:val="33"/>
          <w:lang w:val="en-US" w:eastAsia="zh-CN"/>
        </w:rPr>
        <w:t>4</w:t>
      </w:r>
      <w:r>
        <w:rPr>
          <w:rFonts w:hint="eastAsia" w:ascii="宋体" w:hAnsi="宋体" w:eastAsia="方正仿宋_GBK" w:cs="方正仿宋_GBK"/>
          <w:sz w:val="33"/>
          <w:szCs w:val="33"/>
        </w:rPr>
        <w:t>年预算数为</w:t>
      </w:r>
      <w:r>
        <w:rPr>
          <w:rFonts w:hint="eastAsia" w:ascii="宋体" w:hAnsi="宋体" w:eastAsia="方正仿宋_GBK" w:cs="方正仿宋_GBK"/>
          <w:sz w:val="33"/>
          <w:szCs w:val="33"/>
          <w:lang w:val="en-US" w:eastAsia="zh-CN"/>
        </w:rPr>
        <w:t>166.6</w:t>
      </w:r>
      <w:r>
        <w:rPr>
          <w:rFonts w:hint="eastAsia" w:ascii="宋体" w:hAnsi="宋体" w:eastAsia="方正仿宋_GBK" w:cs="方正仿宋_GBK"/>
          <w:sz w:val="33"/>
          <w:szCs w:val="33"/>
        </w:rPr>
        <w:t>万元，主要用于：服务业统计监测人员补助；服务业现场推进会；广交会、厦洽会及商品展会；海关“关区合作”；西博会、西采会及电子商务博览会；招商引资；“川货全国行”；临聘人员经费；服务业统计监测人员补助；社消零限上统计人员补助等。</w:t>
      </w:r>
    </w:p>
    <w:p>
      <w:pPr>
        <w:keepNext w:val="0"/>
        <w:keepLines w:val="0"/>
        <w:pageBreakBefore w:val="0"/>
        <w:widowControl w:val="0"/>
        <w:kinsoku/>
        <w:wordWrap/>
        <w:overflowPunct/>
        <w:topLinePunct w:val="0"/>
        <w:autoSpaceDE/>
        <w:autoSpaceDN/>
        <w:bidi w:val="0"/>
        <w:adjustRightInd w:val="0"/>
        <w:spacing w:line="590" w:lineRule="exact"/>
        <w:ind w:firstLine="660" w:firstLineChars="200"/>
        <w:contextualSpacing/>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lang w:val="en-US" w:eastAsia="zh-CN"/>
        </w:rPr>
        <w:t>3</w:t>
      </w:r>
      <w:r>
        <w:rPr>
          <w:rFonts w:hint="eastAsia" w:ascii="宋体" w:hAnsi="宋体" w:eastAsia="方正仿宋_GBK" w:cs="方正仿宋_GBK"/>
          <w:sz w:val="33"/>
          <w:szCs w:val="33"/>
        </w:rPr>
        <w:t>.一般公共服务（类）商贸事务（款）</w:t>
      </w:r>
      <w:r>
        <w:rPr>
          <w:rFonts w:hint="eastAsia" w:ascii="宋体" w:hAnsi="宋体" w:eastAsia="方正仿宋_GBK" w:cs="方正仿宋_GBK"/>
          <w:sz w:val="33"/>
          <w:szCs w:val="33"/>
          <w:lang w:val="en-US" w:eastAsia="zh-CN"/>
        </w:rPr>
        <w:t>事业</w:t>
      </w:r>
      <w:r>
        <w:rPr>
          <w:rFonts w:hint="eastAsia" w:ascii="宋体" w:hAnsi="宋体" w:eastAsia="方正仿宋_GBK" w:cs="方正仿宋_GBK"/>
          <w:sz w:val="33"/>
          <w:szCs w:val="33"/>
        </w:rPr>
        <w:t>运行（项）：202</w:t>
      </w:r>
      <w:r>
        <w:rPr>
          <w:rFonts w:hint="eastAsia" w:ascii="宋体" w:hAnsi="宋体" w:eastAsia="方正仿宋_GBK" w:cs="方正仿宋_GBK"/>
          <w:sz w:val="33"/>
          <w:szCs w:val="33"/>
          <w:lang w:val="en-US" w:eastAsia="zh-CN"/>
        </w:rPr>
        <w:t>4</w:t>
      </w:r>
      <w:r>
        <w:rPr>
          <w:rFonts w:hint="eastAsia" w:ascii="宋体" w:hAnsi="宋体" w:eastAsia="方正仿宋_GBK" w:cs="方正仿宋_GBK"/>
          <w:sz w:val="33"/>
          <w:szCs w:val="33"/>
        </w:rPr>
        <w:t>年预算数为</w:t>
      </w:r>
      <w:r>
        <w:rPr>
          <w:rFonts w:hint="eastAsia" w:ascii="宋体" w:hAnsi="宋体" w:eastAsia="方正仿宋_GBK" w:cs="方正仿宋_GBK"/>
          <w:sz w:val="33"/>
          <w:szCs w:val="33"/>
          <w:lang w:val="en-US" w:eastAsia="zh-CN"/>
        </w:rPr>
        <w:t>57.27</w:t>
      </w:r>
      <w:r>
        <w:rPr>
          <w:rFonts w:hint="eastAsia" w:ascii="宋体" w:hAnsi="宋体" w:eastAsia="方正仿宋_GBK" w:cs="方正仿宋_GBK"/>
          <w:sz w:val="33"/>
          <w:szCs w:val="33"/>
        </w:rPr>
        <w:t>万元，主要用于：事业单位正常运转的基本支出，包括基本工资、津贴补贴等人员经费。</w:t>
      </w:r>
    </w:p>
    <w:p>
      <w:pPr>
        <w:keepNext w:val="0"/>
        <w:keepLines w:val="0"/>
        <w:pageBreakBefore w:val="0"/>
        <w:widowControl w:val="0"/>
        <w:kinsoku/>
        <w:wordWrap/>
        <w:overflowPunct/>
        <w:topLinePunct w:val="0"/>
        <w:autoSpaceDE/>
        <w:autoSpaceDN/>
        <w:bidi w:val="0"/>
        <w:adjustRightInd w:val="0"/>
        <w:spacing w:line="590" w:lineRule="exact"/>
        <w:ind w:firstLine="660"/>
        <w:contextualSpacing/>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lang w:val="en-US" w:eastAsia="zh-CN"/>
        </w:rPr>
        <w:t>4</w:t>
      </w:r>
      <w:r>
        <w:rPr>
          <w:rFonts w:hint="eastAsia" w:ascii="宋体" w:hAnsi="宋体" w:eastAsia="方正仿宋_GBK" w:cs="方正仿宋_GBK"/>
          <w:sz w:val="33"/>
          <w:szCs w:val="33"/>
        </w:rPr>
        <w:t>.社会保障和就业（类）行政事业单位离退休（款）机关事业单位基本养老保险缴费支出（项）：202</w:t>
      </w:r>
      <w:r>
        <w:rPr>
          <w:rFonts w:hint="eastAsia" w:ascii="宋体" w:hAnsi="宋体" w:eastAsia="方正仿宋_GBK" w:cs="方正仿宋_GBK"/>
          <w:sz w:val="33"/>
          <w:szCs w:val="33"/>
          <w:lang w:val="en-US" w:eastAsia="zh-CN"/>
        </w:rPr>
        <w:t>4</w:t>
      </w:r>
      <w:r>
        <w:rPr>
          <w:rFonts w:hint="eastAsia" w:ascii="宋体" w:hAnsi="宋体" w:eastAsia="方正仿宋_GBK" w:cs="方正仿宋_GBK"/>
          <w:sz w:val="33"/>
          <w:szCs w:val="33"/>
        </w:rPr>
        <w:t>年预算数为</w:t>
      </w:r>
      <w:r>
        <w:rPr>
          <w:rFonts w:hint="eastAsia" w:ascii="宋体" w:hAnsi="宋体" w:eastAsia="方正仿宋_GBK" w:cs="方正仿宋_GBK"/>
          <w:sz w:val="33"/>
          <w:szCs w:val="33"/>
          <w:lang w:val="en-US" w:eastAsia="zh-CN"/>
        </w:rPr>
        <w:t>39.02</w:t>
      </w:r>
      <w:r>
        <w:rPr>
          <w:rFonts w:hint="eastAsia" w:ascii="宋体" w:hAnsi="宋体" w:eastAsia="方正仿宋_GBK" w:cs="方正仿宋_GBK"/>
          <w:sz w:val="33"/>
          <w:szCs w:val="33"/>
        </w:rPr>
        <w:t>万元，主要用于：保障局机关及下属事业单位人员基本养老保险缴费支出。</w:t>
      </w:r>
    </w:p>
    <w:p>
      <w:pPr>
        <w:keepNext w:val="0"/>
        <w:keepLines w:val="0"/>
        <w:pageBreakBefore w:val="0"/>
        <w:widowControl w:val="0"/>
        <w:kinsoku/>
        <w:wordWrap/>
        <w:overflowPunct/>
        <w:topLinePunct w:val="0"/>
        <w:autoSpaceDE/>
        <w:autoSpaceDN/>
        <w:bidi w:val="0"/>
        <w:adjustRightInd w:val="0"/>
        <w:spacing w:line="590" w:lineRule="exact"/>
        <w:ind w:firstLine="660"/>
        <w:contextualSpacing/>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lang w:val="en-US" w:eastAsia="zh-CN"/>
        </w:rPr>
        <w:t>5.</w:t>
      </w:r>
      <w:r>
        <w:rPr>
          <w:rFonts w:hint="eastAsia" w:ascii="宋体" w:hAnsi="宋体" w:eastAsia="方正仿宋_GBK" w:cs="方正仿宋_GBK"/>
          <w:sz w:val="33"/>
          <w:szCs w:val="33"/>
        </w:rPr>
        <w:t>社会保障和就业（类）</w:t>
      </w:r>
      <w:r>
        <w:rPr>
          <w:rFonts w:hint="eastAsia" w:ascii="宋体" w:hAnsi="宋体" w:eastAsia="方正仿宋_GBK" w:cs="方正仿宋_GBK"/>
          <w:sz w:val="33"/>
          <w:szCs w:val="33"/>
          <w:lang w:val="en-US" w:eastAsia="zh-CN"/>
        </w:rPr>
        <w:t>其他社会保障和就业支出</w:t>
      </w:r>
      <w:r>
        <w:rPr>
          <w:rFonts w:hint="eastAsia" w:ascii="宋体" w:hAnsi="宋体" w:eastAsia="方正仿宋_GBK" w:cs="方正仿宋_GBK"/>
          <w:sz w:val="33"/>
          <w:szCs w:val="33"/>
        </w:rPr>
        <w:t>（款）</w:t>
      </w:r>
      <w:r>
        <w:rPr>
          <w:rFonts w:hint="eastAsia" w:ascii="宋体" w:hAnsi="宋体" w:eastAsia="方正仿宋_GBK" w:cs="方正仿宋_GBK"/>
          <w:sz w:val="33"/>
          <w:szCs w:val="33"/>
          <w:lang w:val="en-US" w:eastAsia="zh-CN"/>
        </w:rPr>
        <w:t>其他社会保障和就业支出</w:t>
      </w:r>
      <w:r>
        <w:rPr>
          <w:rFonts w:hint="eastAsia" w:ascii="宋体" w:hAnsi="宋体" w:eastAsia="方正仿宋_GBK" w:cs="方正仿宋_GBK"/>
          <w:sz w:val="33"/>
          <w:szCs w:val="33"/>
        </w:rPr>
        <w:t>（项）：202</w:t>
      </w:r>
      <w:r>
        <w:rPr>
          <w:rFonts w:hint="eastAsia" w:ascii="宋体" w:hAnsi="宋体" w:eastAsia="方正仿宋_GBK" w:cs="方正仿宋_GBK"/>
          <w:sz w:val="33"/>
          <w:szCs w:val="33"/>
          <w:lang w:val="en-US" w:eastAsia="zh-CN"/>
        </w:rPr>
        <w:t>4</w:t>
      </w:r>
      <w:r>
        <w:rPr>
          <w:rFonts w:hint="eastAsia" w:ascii="宋体" w:hAnsi="宋体" w:eastAsia="方正仿宋_GBK" w:cs="方正仿宋_GBK"/>
          <w:sz w:val="33"/>
          <w:szCs w:val="33"/>
        </w:rPr>
        <w:t>年预算数为</w:t>
      </w:r>
      <w:r>
        <w:rPr>
          <w:rFonts w:hint="eastAsia" w:ascii="宋体" w:hAnsi="宋体" w:eastAsia="方正仿宋_GBK" w:cs="方正仿宋_GBK"/>
          <w:sz w:val="33"/>
          <w:szCs w:val="33"/>
          <w:lang w:val="en-US" w:eastAsia="zh-CN"/>
        </w:rPr>
        <w:t>0.69</w:t>
      </w:r>
      <w:r>
        <w:rPr>
          <w:rFonts w:hint="eastAsia" w:ascii="宋体" w:hAnsi="宋体" w:eastAsia="方正仿宋_GBK" w:cs="方正仿宋_GBK"/>
          <w:sz w:val="33"/>
          <w:szCs w:val="33"/>
        </w:rPr>
        <w:t>万元，主要用于：保障局机关及下属事业单位人员</w:t>
      </w:r>
      <w:r>
        <w:rPr>
          <w:rFonts w:hint="eastAsia" w:ascii="宋体" w:hAnsi="宋体" w:eastAsia="方正仿宋_GBK" w:cs="方正仿宋_GBK"/>
          <w:sz w:val="33"/>
          <w:szCs w:val="33"/>
          <w:lang w:val="en-US" w:eastAsia="zh-CN"/>
        </w:rPr>
        <w:t>其他社会保障</w:t>
      </w:r>
      <w:r>
        <w:rPr>
          <w:rFonts w:hint="eastAsia" w:ascii="宋体" w:hAnsi="宋体" w:eastAsia="方正仿宋_GBK" w:cs="方正仿宋_GBK"/>
          <w:sz w:val="33"/>
          <w:szCs w:val="33"/>
        </w:rPr>
        <w:t>缴费支出。</w:t>
      </w:r>
    </w:p>
    <w:p>
      <w:pPr>
        <w:keepNext w:val="0"/>
        <w:keepLines w:val="0"/>
        <w:pageBreakBefore w:val="0"/>
        <w:widowControl w:val="0"/>
        <w:kinsoku/>
        <w:wordWrap/>
        <w:overflowPunct/>
        <w:topLinePunct w:val="0"/>
        <w:autoSpaceDE/>
        <w:autoSpaceDN/>
        <w:bidi w:val="0"/>
        <w:spacing w:line="590" w:lineRule="exact"/>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　　</w:t>
      </w:r>
      <w:r>
        <w:rPr>
          <w:rFonts w:hint="eastAsia" w:ascii="宋体" w:hAnsi="宋体" w:eastAsia="方正仿宋_GBK" w:cs="方正仿宋_GBK"/>
          <w:sz w:val="33"/>
          <w:szCs w:val="33"/>
          <w:lang w:val="en-US" w:eastAsia="zh-CN"/>
        </w:rPr>
        <w:t>6</w:t>
      </w:r>
      <w:r>
        <w:rPr>
          <w:rFonts w:hint="eastAsia" w:ascii="宋体" w:hAnsi="宋体" w:eastAsia="方正仿宋_GBK" w:cs="方正仿宋_GBK"/>
          <w:sz w:val="33"/>
          <w:szCs w:val="33"/>
        </w:rPr>
        <w:t>.卫生健康支出（类）行政事业单位医疗（款）行政单位医疗（项）：202</w:t>
      </w:r>
      <w:r>
        <w:rPr>
          <w:rFonts w:hint="eastAsia" w:ascii="宋体" w:hAnsi="宋体" w:eastAsia="方正仿宋_GBK" w:cs="方正仿宋_GBK"/>
          <w:sz w:val="33"/>
          <w:szCs w:val="33"/>
          <w:lang w:val="en-US" w:eastAsia="zh-CN"/>
        </w:rPr>
        <w:t>4</w:t>
      </w:r>
      <w:r>
        <w:rPr>
          <w:rFonts w:hint="eastAsia" w:ascii="宋体" w:hAnsi="宋体" w:eastAsia="方正仿宋_GBK" w:cs="方正仿宋_GBK"/>
          <w:sz w:val="33"/>
          <w:szCs w:val="33"/>
        </w:rPr>
        <w:t>年预算数为</w:t>
      </w:r>
      <w:r>
        <w:rPr>
          <w:rFonts w:hint="eastAsia" w:ascii="宋体" w:hAnsi="宋体" w:eastAsia="方正仿宋_GBK" w:cs="方正仿宋_GBK"/>
          <w:sz w:val="33"/>
          <w:szCs w:val="33"/>
          <w:lang w:val="en-US" w:eastAsia="zh-CN"/>
        </w:rPr>
        <w:t>10.14</w:t>
      </w:r>
      <w:r>
        <w:rPr>
          <w:rFonts w:hint="eastAsia" w:ascii="宋体" w:hAnsi="宋体" w:eastAsia="方正仿宋_GBK" w:cs="方正仿宋_GBK"/>
          <w:sz w:val="33"/>
          <w:szCs w:val="33"/>
        </w:rPr>
        <w:t>万元，主要用于：局机关及参公管理事业单位基本医疗保险缴费支出。</w:t>
      </w:r>
    </w:p>
    <w:p>
      <w:pPr>
        <w:keepNext w:val="0"/>
        <w:keepLines w:val="0"/>
        <w:pageBreakBefore w:val="0"/>
        <w:widowControl w:val="0"/>
        <w:kinsoku/>
        <w:wordWrap/>
        <w:overflowPunct/>
        <w:topLinePunct w:val="0"/>
        <w:autoSpaceDE/>
        <w:autoSpaceDN/>
        <w:bidi w:val="0"/>
        <w:spacing w:line="590" w:lineRule="exact"/>
        <w:ind w:firstLine="660" w:firstLineChars="20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lang w:val="en-US" w:eastAsia="zh-CN"/>
        </w:rPr>
        <w:t>7</w:t>
      </w:r>
      <w:r>
        <w:rPr>
          <w:rFonts w:hint="eastAsia" w:ascii="宋体" w:hAnsi="宋体" w:eastAsia="方正仿宋_GBK" w:cs="方正仿宋_GBK"/>
          <w:sz w:val="33"/>
          <w:szCs w:val="33"/>
        </w:rPr>
        <w:t>.卫生健康支出（类）行政事业单位医疗（款）</w:t>
      </w:r>
      <w:r>
        <w:rPr>
          <w:rFonts w:hint="eastAsia" w:ascii="宋体" w:hAnsi="宋体" w:eastAsia="方正仿宋_GBK" w:cs="方正仿宋_GBK"/>
          <w:sz w:val="33"/>
          <w:szCs w:val="33"/>
          <w:lang w:val="en-US" w:eastAsia="zh-CN"/>
        </w:rPr>
        <w:t>事业</w:t>
      </w:r>
      <w:r>
        <w:rPr>
          <w:rFonts w:hint="eastAsia" w:ascii="宋体" w:hAnsi="宋体" w:eastAsia="方正仿宋_GBK" w:cs="方正仿宋_GBK"/>
          <w:sz w:val="33"/>
          <w:szCs w:val="33"/>
        </w:rPr>
        <w:t>单位医疗（项）2024年预算数为</w:t>
      </w:r>
      <w:r>
        <w:rPr>
          <w:rFonts w:hint="eastAsia" w:ascii="宋体" w:hAnsi="宋体" w:eastAsia="方正仿宋_GBK" w:cs="方正仿宋_GBK"/>
          <w:sz w:val="33"/>
          <w:szCs w:val="33"/>
          <w:lang w:val="en-US" w:eastAsia="zh-CN"/>
        </w:rPr>
        <w:t>3.08</w:t>
      </w:r>
      <w:r>
        <w:rPr>
          <w:rFonts w:hint="eastAsia" w:ascii="宋体" w:hAnsi="宋体" w:eastAsia="方正仿宋_GBK" w:cs="方正仿宋_GBK"/>
          <w:sz w:val="33"/>
          <w:szCs w:val="33"/>
        </w:rPr>
        <w:t>万元，用于为职工缴纳的基本医疗保险支出。</w:t>
      </w:r>
    </w:p>
    <w:p>
      <w:pPr>
        <w:keepNext w:val="0"/>
        <w:keepLines w:val="0"/>
        <w:pageBreakBefore w:val="0"/>
        <w:widowControl w:val="0"/>
        <w:kinsoku/>
        <w:wordWrap/>
        <w:overflowPunct/>
        <w:topLinePunct w:val="0"/>
        <w:autoSpaceDE/>
        <w:autoSpaceDN/>
        <w:bidi w:val="0"/>
        <w:adjustRightInd w:val="0"/>
        <w:spacing w:line="590" w:lineRule="exact"/>
        <w:ind w:firstLine="660" w:firstLineChars="200"/>
        <w:contextualSpacing/>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lang w:val="en-US" w:eastAsia="zh-CN"/>
        </w:rPr>
        <w:t>8</w:t>
      </w:r>
      <w:r>
        <w:rPr>
          <w:rFonts w:hint="eastAsia" w:ascii="宋体" w:hAnsi="宋体" w:eastAsia="方正仿宋_GBK" w:cs="方正仿宋_GBK"/>
          <w:sz w:val="33"/>
          <w:szCs w:val="33"/>
        </w:rPr>
        <w:t>.卫生健康支出（类）行政事业单位医疗（款）公务员医疗补助（项）2024年预算数为</w:t>
      </w:r>
      <w:r>
        <w:rPr>
          <w:rFonts w:hint="eastAsia" w:ascii="宋体" w:hAnsi="宋体" w:eastAsia="方正仿宋_GBK" w:cs="方正仿宋_GBK"/>
          <w:sz w:val="33"/>
          <w:szCs w:val="33"/>
          <w:lang w:val="en-US" w:eastAsia="zh-CN"/>
        </w:rPr>
        <w:t>2.82</w:t>
      </w:r>
      <w:r>
        <w:rPr>
          <w:rFonts w:hint="eastAsia" w:ascii="宋体" w:hAnsi="宋体" w:eastAsia="方正仿宋_GBK" w:cs="方正仿宋_GBK"/>
          <w:sz w:val="33"/>
          <w:szCs w:val="33"/>
        </w:rPr>
        <w:t>万元，用于为职工缴纳的公务员医疗补助支出。</w:t>
      </w:r>
    </w:p>
    <w:p>
      <w:pPr>
        <w:keepNext w:val="0"/>
        <w:keepLines w:val="0"/>
        <w:pageBreakBefore w:val="0"/>
        <w:widowControl w:val="0"/>
        <w:kinsoku/>
        <w:wordWrap/>
        <w:overflowPunct/>
        <w:topLinePunct w:val="0"/>
        <w:autoSpaceDE/>
        <w:autoSpaceDN/>
        <w:bidi w:val="0"/>
        <w:adjustRightInd w:val="0"/>
        <w:spacing w:line="590" w:lineRule="exact"/>
        <w:contextualSpacing/>
        <w:textAlignment w:val="auto"/>
        <w:rPr>
          <w:rFonts w:hint="eastAsia" w:ascii="宋体" w:hAnsi="宋体" w:eastAsia="方正仿宋_GBK" w:cs="方正仿宋_GBK"/>
          <w:b/>
          <w:color w:val="FF0000"/>
          <w:sz w:val="33"/>
          <w:szCs w:val="33"/>
          <w:u w:val="single"/>
        </w:rPr>
      </w:pPr>
      <w:r>
        <w:rPr>
          <w:rFonts w:hint="eastAsia" w:ascii="宋体" w:hAnsi="宋体" w:eastAsia="方正仿宋_GBK" w:cs="方正仿宋_GBK"/>
          <w:sz w:val="33"/>
          <w:szCs w:val="33"/>
        </w:rPr>
        <w:t>　　</w:t>
      </w:r>
      <w:r>
        <w:rPr>
          <w:rFonts w:hint="eastAsia" w:ascii="宋体" w:hAnsi="宋体" w:eastAsia="方正仿宋_GBK" w:cs="方正仿宋_GBK"/>
          <w:sz w:val="33"/>
          <w:szCs w:val="33"/>
          <w:lang w:val="en-US" w:eastAsia="zh-CN"/>
        </w:rPr>
        <w:t>9</w:t>
      </w:r>
      <w:r>
        <w:rPr>
          <w:rFonts w:hint="eastAsia" w:ascii="宋体" w:hAnsi="宋体" w:eastAsia="方正仿宋_GBK" w:cs="方正仿宋_GBK"/>
          <w:sz w:val="33"/>
          <w:szCs w:val="33"/>
        </w:rPr>
        <w:t>.住房保障（类）住房改革支出（款）住房公积金（项）：202</w:t>
      </w:r>
      <w:r>
        <w:rPr>
          <w:rFonts w:hint="eastAsia" w:ascii="宋体" w:hAnsi="宋体" w:eastAsia="方正仿宋_GBK" w:cs="方正仿宋_GBK"/>
          <w:sz w:val="33"/>
          <w:szCs w:val="33"/>
          <w:lang w:val="en-US" w:eastAsia="zh-CN"/>
        </w:rPr>
        <w:t>4</w:t>
      </w:r>
      <w:r>
        <w:rPr>
          <w:rFonts w:hint="eastAsia" w:ascii="宋体" w:hAnsi="宋体" w:eastAsia="方正仿宋_GBK" w:cs="方正仿宋_GBK"/>
          <w:sz w:val="33"/>
          <w:szCs w:val="33"/>
        </w:rPr>
        <w:t>年预算数为</w:t>
      </w:r>
      <w:r>
        <w:rPr>
          <w:rFonts w:hint="eastAsia" w:ascii="宋体" w:hAnsi="宋体" w:eastAsia="方正仿宋_GBK" w:cs="方正仿宋_GBK"/>
          <w:sz w:val="33"/>
          <w:szCs w:val="33"/>
          <w:lang w:val="en-US" w:eastAsia="zh-CN"/>
        </w:rPr>
        <w:t>32.43</w:t>
      </w:r>
      <w:r>
        <w:rPr>
          <w:rFonts w:hint="eastAsia" w:ascii="宋体" w:hAnsi="宋体" w:eastAsia="方正仿宋_GBK" w:cs="方正仿宋_GBK"/>
          <w:sz w:val="33"/>
          <w:szCs w:val="33"/>
        </w:rPr>
        <w:t>万元，主要用于：部门按人力资源和社会保障部、财政部规定的基本工资和津贴补贴以及规定比例为职工缴纳的住房公积金支出。</w:t>
      </w:r>
    </w:p>
    <w:p>
      <w:pPr>
        <w:keepNext w:val="0"/>
        <w:keepLines w:val="0"/>
        <w:pageBreakBefore w:val="0"/>
        <w:widowControl w:val="0"/>
        <w:kinsoku/>
        <w:wordWrap/>
        <w:overflowPunct/>
        <w:topLinePunct w:val="0"/>
        <w:autoSpaceDE/>
        <w:autoSpaceDN/>
        <w:bidi w:val="0"/>
        <w:spacing w:line="590" w:lineRule="exact"/>
        <w:ind w:left="147" w:leftChars="70" w:firstLine="495" w:firstLineChars="15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六、一般公共预算基本支出情况说明</w:t>
      </w:r>
    </w:p>
    <w:p>
      <w:pPr>
        <w:keepNext w:val="0"/>
        <w:keepLines w:val="0"/>
        <w:pageBreakBefore w:val="0"/>
        <w:widowControl w:val="0"/>
        <w:kinsoku/>
        <w:wordWrap/>
        <w:overflowPunct/>
        <w:topLinePunct w:val="0"/>
        <w:autoSpaceDE/>
        <w:autoSpaceDN/>
        <w:bidi w:val="0"/>
        <w:spacing w:line="590" w:lineRule="exact"/>
        <w:ind w:left="147" w:leftChars="70" w:firstLine="660" w:firstLineChars="200"/>
        <w:textAlignment w:val="auto"/>
        <w:rPr>
          <w:rFonts w:hint="eastAsia" w:ascii="宋体" w:hAnsi="宋体" w:eastAsia="方正仿宋_GBK" w:cs="方正仿宋_GBK"/>
          <w:sz w:val="33"/>
          <w:szCs w:val="33"/>
          <w:lang w:val="en-US" w:eastAsia="zh-CN"/>
        </w:rPr>
      </w:pPr>
      <w:r>
        <w:rPr>
          <w:rFonts w:hint="eastAsia" w:ascii="宋体" w:hAnsi="宋体" w:eastAsia="方正仿宋_GBK" w:cs="方正仿宋_GBK"/>
          <w:sz w:val="33"/>
          <w:szCs w:val="33"/>
        </w:rPr>
        <w:t>2024年一般</w:t>
      </w:r>
      <w:r>
        <w:rPr>
          <w:rFonts w:hint="eastAsia" w:ascii="宋体" w:hAnsi="宋体" w:eastAsia="方正仿宋_GBK" w:cs="方正仿宋_GBK"/>
          <w:sz w:val="33"/>
          <w:szCs w:val="33"/>
          <w:lang w:val="en-US" w:eastAsia="zh-CN"/>
        </w:rPr>
        <w:t>公共预算基本支出397.6万元，其中：</w:t>
      </w:r>
    </w:p>
    <w:p>
      <w:pPr>
        <w:keepNext w:val="0"/>
        <w:keepLines w:val="0"/>
        <w:pageBreakBefore w:val="0"/>
        <w:widowControl w:val="0"/>
        <w:kinsoku/>
        <w:wordWrap/>
        <w:overflowPunct/>
        <w:topLinePunct w:val="0"/>
        <w:autoSpaceDE/>
        <w:autoSpaceDN/>
        <w:bidi w:val="0"/>
        <w:spacing w:line="590" w:lineRule="exact"/>
        <w:ind w:left="147" w:leftChars="70" w:firstLine="660" w:firstLineChars="200"/>
        <w:textAlignment w:val="auto"/>
        <w:rPr>
          <w:rFonts w:hint="eastAsia" w:ascii="宋体" w:hAnsi="宋体" w:eastAsia="方正仿宋_GBK" w:cs="方正仿宋_GBK"/>
          <w:sz w:val="33"/>
          <w:szCs w:val="33"/>
          <w:lang w:val="en-US" w:eastAsia="zh-CN"/>
        </w:rPr>
      </w:pPr>
      <w:r>
        <w:rPr>
          <w:rFonts w:hint="eastAsia" w:ascii="宋体" w:hAnsi="宋体" w:eastAsia="方正仿宋_GBK" w:cs="方正仿宋_GBK"/>
          <w:sz w:val="33"/>
          <w:szCs w:val="33"/>
          <w:lang w:val="en-US" w:eastAsia="zh-CN"/>
        </w:rPr>
        <w:t>人员经费332.07万元，主要包括：基本工资、津贴补贴、奖金、社会保险缴费等。</w:t>
      </w:r>
    </w:p>
    <w:p>
      <w:pPr>
        <w:keepNext w:val="0"/>
        <w:keepLines w:val="0"/>
        <w:pageBreakBefore w:val="0"/>
        <w:widowControl w:val="0"/>
        <w:kinsoku/>
        <w:wordWrap/>
        <w:overflowPunct/>
        <w:topLinePunct w:val="0"/>
        <w:autoSpaceDE/>
        <w:autoSpaceDN/>
        <w:bidi w:val="0"/>
        <w:spacing w:line="590" w:lineRule="exact"/>
        <w:ind w:left="147" w:leftChars="70" w:firstLine="660" w:firstLineChars="200"/>
        <w:textAlignment w:val="auto"/>
        <w:rPr>
          <w:rFonts w:hint="eastAsia" w:ascii="宋体" w:hAnsi="宋体" w:eastAsia="方正仿宋_GBK" w:cs="方正仿宋_GBK"/>
          <w:sz w:val="33"/>
          <w:szCs w:val="33"/>
          <w:lang w:val="en-US" w:eastAsia="zh-CN"/>
        </w:rPr>
      </w:pPr>
      <w:r>
        <w:rPr>
          <w:rFonts w:hint="eastAsia" w:ascii="宋体" w:hAnsi="宋体" w:eastAsia="方正仿宋_GBK" w:cs="方正仿宋_GBK"/>
          <w:sz w:val="33"/>
          <w:szCs w:val="33"/>
          <w:lang w:val="en-US" w:eastAsia="zh-CN"/>
        </w:rPr>
        <w:t>公用经费65.53万元，主要包括：办公费、水费、电费、邮电费、印刷费、差旅费、维修（护）费、劳务费等。</w:t>
      </w:r>
    </w:p>
    <w:p>
      <w:pPr>
        <w:keepNext w:val="0"/>
        <w:keepLines w:val="0"/>
        <w:pageBreakBefore w:val="0"/>
        <w:widowControl w:val="0"/>
        <w:kinsoku/>
        <w:wordWrap/>
        <w:overflowPunct/>
        <w:topLinePunct w:val="0"/>
        <w:autoSpaceDE/>
        <w:autoSpaceDN/>
        <w:bidi w:val="0"/>
        <w:spacing w:line="590" w:lineRule="exact"/>
        <w:ind w:left="147" w:leftChars="70" w:firstLine="660" w:firstLineChars="200"/>
        <w:textAlignment w:val="auto"/>
        <w:rPr>
          <w:rFonts w:hint="eastAsia" w:ascii="方正黑体_GBK" w:hAnsi="方正黑体_GBK" w:eastAsia="方正黑体_GBK" w:cs="方正黑体_GBK"/>
          <w:color w:val="FF0000"/>
          <w:sz w:val="33"/>
          <w:szCs w:val="33"/>
        </w:rPr>
      </w:pPr>
      <w:r>
        <w:rPr>
          <w:rFonts w:hint="eastAsia" w:ascii="方正黑体_GBK" w:hAnsi="方正黑体_GBK" w:eastAsia="方正黑体_GBK" w:cs="方正黑体_GBK"/>
          <w:sz w:val="33"/>
          <w:szCs w:val="33"/>
        </w:rPr>
        <w:t>七、“三公”经费财政拨款预算安排情况说明</w:t>
      </w:r>
    </w:p>
    <w:p>
      <w:pPr>
        <w:keepNext w:val="0"/>
        <w:keepLines w:val="0"/>
        <w:pageBreakBefore w:val="0"/>
        <w:widowControl w:val="0"/>
        <w:kinsoku/>
        <w:wordWrap/>
        <w:overflowPunct/>
        <w:topLinePunct w:val="0"/>
        <w:autoSpaceDE/>
        <w:autoSpaceDN/>
        <w:bidi w:val="0"/>
        <w:spacing w:line="590" w:lineRule="exact"/>
        <w:ind w:left="147" w:leftChars="70" w:firstLine="660" w:firstLineChars="20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2024年“三</w:t>
      </w:r>
      <w:r>
        <w:rPr>
          <w:rFonts w:hint="eastAsia" w:ascii="宋体" w:hAnsi="宋体" w:eastAsia="方正仿宋_GBK" w:cs="方正仿宋_GBK"/>
          <w:sz w:val="33"/>
          <w:szCs w:val="33"/>
          <w:lang w:val="en-US" w:eastAsia="zh-CN"/>
        </w:rPr>
        <w:t>公”经费财政拨款预算数6.4万元，其中：因公出国（境）经费0万元，公务接待费3.4万元，公务用车购置及运行维护费3万元。</w:t>
      </w:r>
    </w:p>
    <w:p>
      <w:pPr>
        <w:keepNext w:val="0"/>
        <w:keepLines w:val="0"/>
        <w:pageBreakBefore w:val="0"/>
        <w:widowControl w:val="0"/>
        <w:kinsoku/>
        <w:wordWrap/>
        <w:overflowPunct/>
        <w:topLinePunct w:val="0"/>
        <w:autoSpaceDE/>
        <w:autoSpaceDN/>
        <w:bidi w:val="0"/>
        <w:spacing w:line="590" w:lineRule="exact"/>
        <w:ind w:left="147" w:leftChars="70" w:firstLine="497" w:firstLineChars="150"/>
        <w:textAlignment w:val="auto"/>
        <w:rPr>
          <w:rFonts w:hint="eastAsia" w:ascii="宋体" w:hAnsi="宋体" w:eastAsia="方正仿宋_GBK" w:cs="方正仿宋_GBK"/>
          <w:sz w:val="33"/>
          <w:szCs w:val="33"/>
          <w:lang w:val="en-US" w:eastAsia="zh-CN"/>
        </w:rPr>
      </w:pPr>
      <w:r>
        <w:rPr>
          <w:rFonts w:hint="eastAsia" w:ascii="方正楷体_GBK" w:hAnsi="方正楷体_GBK" w:eastAsia="方正楷体_GBK" w:cs="方正楷体_GBK"/>
          <w:b/>
          <w:sz w:val="33"/>
          <w:szCs w:val="33"/>
        </w:rPr>
        <w:t>（一）因公出国（境）经费较2023年预算持平。</w:t>
      </w:r>
      <w:r>
        <w:rPr>
          <w:rFonts w:hint="eastAsia" w:ascii="宋体" w:hAnsi="宋体" w:eastAsia="方正仿宋_GBK" w:cs="方正仿宋_GBK"/>
          <w:sz w:val="33"/>
          <w:szCs w:val="33"/>
        </w:rPr>
        <w:t>主要原因</w:t>
      </w:r>
      <w:r>
        <w:rPr>
          <w:rFonts w:hint="eastAsia" w:ascii="宋体" w:hAnsi="宋体" w:eastAsia="方正仿宋_GBK" w:cs="方正仿宋_GBK"/>
          <w:sz w:val="33"/>
          <w:szCs w:val="33"/>
          <w:lang w:val="en-US" w:eastAsia="zh-CN"/>
        </w:rPr>
        <w:t>是无出国计划。</w:t>
      </w:r>
    </w:p>
    <w:p>
      <w:pPr>
        <w:keepNext w:val="0"/>
        <w:keepLines w:val="0"/>
        <w:pageBreakBefore w:val="0"/>
        <w:widowControl w:val="0"/>
        <w:kinsoku/>
        <w:wordWrap/>
        <w:overflowPunct/>
        <w:topLinePunct w:val="0"/>
        <w:autoSpaceDE/>
        <w:autoSpaceDN/>
        <w:bidi w:val="0"/>
        <w:spacing w:line="590" w:lineRule="exact"/>
        <w:ind w:left="147" w:leftChars="70" w:firstLine="495" w:firstLineChars="15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lang w:val="en-US" w:eastAsia="zh-CN"/>
        </w:rPr>
        <w:t>本年度拟安排出国（境）0人次</w:t>
      </w:r>
      <w:r>
        <w:rPr>
          <w:rFonts w:hint="eastAsia" w:ascii="宋体" w:hAnsi="宋体" w:eastAsia="方正仿宋_GBK" w:cs="方正仿宋_GBK"/>
          <w:sz w:val="33"/>
          <w:szCs w:val="33"/>
        </w:rPr>
        <w:t>。</w:t>
      </w:r>
    </w:p>
    <w:p>
      <w:pPr>
        <w:keepNext w:val="0"/>
        <w:keepLines w:val="0"/>
        <w:pageBreakBefore w:val="0"/>
        <w:widowControl w:val="0"/>
        <w:kinsoku/>
        <w:wordWrap/>
        <w:overflowPunct/>
        <w:topLinePunct w:val="0"/>
        <w:autoSpaceDE/>
        <w:autoSpaceDN/>
        <w:bidi w:val="0"/>
        <w:spacing w:line="590" w:lineRule="exact"/>
        <w:ind w:left="147" w:leftChars="70" w:firstLine="497" w:firstLineChars="150"/>
        <w:textAlignment w:val="auto"/>
        <w:rPr>
          <w:rFonts w:hint="eastAsia" w:ascii="宋体" w:hAnsi="宋体" w:eastAsia="方正仿宋_GBK" w:cs="方正仿宋_GBK"/>
          <w:sz w:val="33"/>
          <w:szCs w:val="33"/>
        </w:rPr>
      </w:pPr>
      <w:r>
        <w:rPr>
          <w:rFonts w:hint="eastAsia" w:ascii="方正楷体_GBK" w:hAnsi="方正楷体_GBK" w:eastAsia="方正楷体_GBK" w:cs="方正楷体_GBK"/>
          <w:b/>
          <w:sz w:val="33"/>
          <w:szCs w:val="33"/>
        </w:rPr>
        <w:t>（二）公务接待费较2023年预算持平。</w:t>
      </w:r>
      <w:r>
        <w:rPr>
          <w:rFonts w:hint="eastAsia" w:ascii="宋体" w:hAnsi="宋体" w:eastAsia="方正仿宋_GBK" w:cs="方正仿宋_GBK"/>
          <w:sz w:val="33"/>
          <w:szCs w:val="33"/>
        </w:rPr>
        <w:t>主要原因是</w:t>
      </w:r>
      <w:r>
        <w:rPr>
          <w:rFonts w:hint="eastAsia" w:ascii="宋体" w:hAnsi="宋体" w:eastAsia="方正仿宋_GBK" w:cs="方正仿宋_GBK"/>
          <w:sz w:val="33"/>
          <w:szCs w:val="33"/>
          <w:lang w:val="en-US" w:eastAsia="zh-CN"/>
        </w:rPr>
        <w:t>加大招商引资工作</w:t>
      </w:r>
      <w:r>
        <w:rPr>
          <w:rFonts w:hint="eastAsia" w:ascii="宋体" w:hAnsi="宋体" w:eastAsia="方正仿宋_GBK" w:cs="方正仿宋_GBK"/>
          <w:sz w:val="33"/>
          <w:szCs w:val="33"/>
        </w:rPr>
        <w:t>。</w:t>
      </w:r>
    </w:p>
    <w:p>
      <w:pPr>
        <w:keepNext w:val="0"/>
        <w:keepLines w:val="0"/>
        <w:pageBreakBefore w:val="0"/>
        <w:widowControl w:val="0"/>
        <w:kinsoku/>
        <w:wordWrap/>
        <w:overflowPunct/>
        <w:topLinePunct w:val="0"/>
        <w:autoSpaceDE/>
        <w:autoSpaceDN/>
        <w:bidi w:val="0"/>
        <w:spacing w:line="590" w:lineRule="exact"/>
        <w:ind w:left="147" w:leftChars="70" w:firstLine="495" w:firstLineChars="15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2024年公务接待费计划用于</w:t>
      </w:r>
      <w:r>
        <w:rPr>
          <w:rFonts w:hint="eastAsia" w:ascii="宋体" w:hAnsi="宋体" w:eastAsia="方正仿宋_GBK" w:cs="方正仿宋_GBK"/>
          <w:sz w:val="33"/>
          <w:szCs w:val="33"/>
          <w:lang w:val="en-US" w:eastAsia="zh-CN"/>
        </w:rPr>
        <w:t>客商接待及外出开展招商</w:t>
      </w:r>
      <w:r>
        <w:rPr>
          <w:rFonts w:hint="eastAsia" w:ascii="宋体" w:hAnsi="宋体" w:eastAsia="方正仿宋_GBK" w:cs="方正仿宋_GBK"/>
          <w:sz w:val="33"/>
          <w:szCs w:val="33"/>
        </w:rPr>
        <w:t xml:space="preserve">等。 </w:t>
      </w:r>
    </w:p>
    <w:p>
      <w:pPr>
        <w:keepNext w:val="0"/>
        <w:keepLines w:val="0"/>
        <w:pageBreakBefore w:val="0"/>
        <w:widowControl w:val="0"/>
        <w:kinsoku/>
        <w:wordWrap/>
        <w:overflowPunct/>
        <w:topLinePunct w:val="0"/>
        <w:autoSpaceDE/>
        <w:autoSpaceDN/>
        <w:bidi w:val="0"/>
        <w:adjustRightInd w:val="0"/>
        <w:snapToGrid w:val="0"/>
        <w:spacing w:before="93" w:beforeLines="30" w:line="590" w:lineRule="exact"/>
        <w:ind w:firstLine="663" w:firstLineChars="200"/>
        <w:textAlignment w:val="auto"/>
        <w:rPr>
          <w:rFonts w:hint="eastAsia" w:ascii="宋体" w:hAnsi="宋体" w:eastAsia="方正仿宋_GBK" w:cs="方正仿宋_GBK"/>
          <w:b/>
          <w:sz w:val="33"/>
          <w:szCs w:val="33"/>
        </w:rPr>
      </w:pPr>
      <w:r>
        <w:rPr>
          <w:rFonts w:hint="eastAsia" w:ascii="方正楷体_GBK" w:hAnsi="方正楷体_GBK" w:eastAsia="方正楷体_GBK" w:cs="方正楷体_GBK"/>
          <w:b/>
          <w:sz w:val="33"/>
          <w:szCs w:val="33"/>
        </w:rPr>
        <w:t>（三）公务用车购置及运行维护费较2023年预算</w:t>
      </w:r>
      <w:r>
        <w:rPr>
          <w:rFonts w:hint="eastAsia" w:ascii="方正楷体_GBK" w:hAnsi="方正楷体_GBK" w:eastAsia="方正楷体_GBK" w:cs="方正楷体_GBK"/>
          <w:b/>
          <w:sz w:val="33"/>
          <w:szCs w:val="33"/>
          <w:lang w:val="en-US" w:eastAsia="zh-CN"/>
        </w:rPr>
        <w:t>持平</w:t>
      </w:r>
      <w:r>
        <w:rPr>
          <w:rFonts w:hint="eastAsia" w:ascii="方正楷体_GBK" w:hAnsi="方正楷体_GBK" w:eastAsia="方正楷体_GBK" w:cs="方正楷体_GBK"/>
          <w:b/>
          <w:sz w:val="33"/>
          <w:szCs w:val="33"/>
        </w:rPr>
        <w:t>。</w:t>
      </w:r>
    </w:p>
    <w:p>
      <w:pPr>
        <w:keepNext w:val="0"/>
        <w:keepLines w:val="0"/>
        <w:pageBreakBefore w:val="0"/>
        <w:widowControl w:val="0"/>
        <w:kinsoku/>
        <w:wordWrap/>
        <w:overflowPunct/>
        <w:topLinePunct w:val="0"/>
        <w:autoSpaceDE/>
        <w:autoSpaceDN/>
        <w:bidi w:val="0"/>
        <w:adjustRightInd w:val="0"/>
        <w:snapToGrid w:val="0"/>
        <w:spacing w:before="93" w:beforeLines="30" w:line="590" w:lineRule="exact"/>
        <w:ind w:firstLine="660" w:firstLineChars="20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单位现有公务用车</w:t>
      </w:r>
      <w:r>
        <w:rPr>
          <w:rFonts w:hint="eastAsia" w:ascii="宋体" w:hAnsi="宋体" w:eastAsia="方正仿宋_GBK" w:cs="方正仿宋_GBK"/>
          <w:sz w:val="33"/>
          <w:szCs w:val="33"/>
          <w:lang w:val="en-US" w:eastAsia="zh-CN"/>
        </w:rPr>
        <w:t>1</w:t>
      </w:r>
      <w:r>
        <w:rPr>
          <w:rFonts w:hint="eastAsia" w:ascii="宋体" w:hAnsi="宋体" w:eastAsia="方正仿宋_GBK" w:cs="方正仿宋_GBK"/>
          <w:sz w:val="33"/>
          <w:szCs w:val="33"/>
        </w:rPr>
        <w:t>辆，其中：轿车</w:t>
      </w:r>
      <w:r>
        <w:rPr>
          <w:rFonts w:hint="eastAsia" w:ascii="宋体" w:hAnsi="宋体" w:eastAsia="方正仿宋_GBK" w:cs="方正仿宋_GBK"/>
          <w:sz w:val="33"/>
          <w:szCs w:val="33"/>
          <w:lang w:val="en-US" w:eastAsia="zh-CN"/>
        </w:rPr>
        <w:t>0</w:t>
      </w:r>
      <w:r>
        <w:rPr>
          <w:rFonts w:hint="eastAsia" w:ascii="宋体" w:hAnsi="宋体" w:eastAsia="方正仿宋_GBK" w:cs="方正仿宋_GBK"/>
          <w:sz w:val="33"/>
          <w:szCs w:val="33"/>
        </w:rPr>
        <w:t>辆，越野车</w:t>
      </w:r>
      <w:r>
        <w:rPr>
          <w:rFonts w:hint="eastAsia" w:ascii="宋体" w:hAnsi="宋体" w:eastAsia="方正仿宋_GBK" w:cs="方正仿宋_GBK"/>
          <w:sz w:val="33"/>
          <w:szCs w:val="33"/>
          <w:lang w:val="en-US" w:eastAsia="zh-CN"/>
        </w:rPr>
        <w:t>1</w:t>
      </w:r>
      <w:r>
        <w:rPr>
          <w:rFonts w:hint="eastAsia" w:ascii="宋体" w:hAnsi="宋体" w:eastAsia="方正仿宋_GBK" w:cs="方正仿宋_GBK"/>
          <w:sz w:val="33"/>
          <w:szCs w:val="33"/>
        </w:rPr>
        <w:t>辆，多功能乘用车</w:t>
      </w:r>
      <w:r>
        <w:rPr>
          <w:rFonts w:hint="eastAsia" w:ascii="宋体" w:hAnsi="宋体" w:eastAsia="方正仿宋_GBK" w:cs="方正仿宋_GBK"/>
          <w:sz w:val="33"/>
          <w:szCs w:val="33"/>
          <w:lang w:val="en-US" w:eastAsia="zh-CN"/>
        </w:rPr>
        <w:t>0</w:t>
      </w:r>
      <w:r>
        <w:rPr>
          <w:rFonts w:hint="eastAsia" w:ascii="宋体" w:hAnsi="宋体" w:eastAsia="方正仿宋_GBK" w:cs="方正仿宋_GBK"/>
          <w:sz w:val="33"/>
          <w:szCs w:val="33"/>
        </w:rPr>
        <w:t>辆。</w:t>
      </w:r>
    </w:p>
    <w:p>
      <w:pPr>
        <w:keepNext w:val="0"/>
        <w:keepLines w:val="0"/>
        <w:pageBreakBefore w:val="0"/>
        <w:widowControl w:val="0"/>
        <w:kinsoku/>
        <w:wordWrap/>
        <w:overflowPunct/>
        <w:topLinePunct w:val="0"/>
        <w:autoSpaceDE/>
        <w:autoSpaceDN/>
        <w:bidi w:val="0"/>
        <w:adjustRightInd w:val="0"/>
        <w:snapToGrid w:val="0"/>
        <w:spacing w:before="93" w:beforeLines="30" w:line="590" w:lineRule="exact"/>
        <w:ind w:firstLine="660" w:firstLineChars="20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公务用车购置费</w:t>
      </w:r>
      <w:r>
        <w:rPr>
          <w:rFonts w:hint="eastAsia" w:ascii="宋体" w:hAnsi="宋体" w:eastAsia="方正仿宋_GBK" w:cs="方正仿宋_GBK"/>
          <w:sz w:val="33"/>
          <w:szCs w:val="33"/>
          <w:lang w:val="en-US" w:eastAsia="zh-CN"/>
        </w:rPr>
        <w:t>0</w:t>
      </w:r>
      <w:r>
        <w:rPr>
          <w:rFonts w:hint="eastAsia" w:ascii="宋体" w:hAnsi="宋体" w:eastAsia="方正仿宋_GBK" w:cs="方正仿宋_GBK"/>
          <w:sz w:val="33"/>
          <w:szCs w:val="33"/>
        </w:rPr>
        <w:t>万元，较2023年预算</w:t>
      </w:r>
      <w:r>
        <w:rPr>
          <w:rFonts w:hint="eastAsia" w:ascii="宋体" w:hAnsi="宋体" w:eastAsia="方正仿宋_GBK" w:cs="方正仿宋_GBK"/>
          <w:sz w:val="33"/>
          <w:szCs w:val="33"/>
          <w:lang w:val="en-US" w:eastAsia="zh-CN"/>
        </w:rPr>
        <w:t>持平</w:t>
      </w:r>
      <w:r>
        <w:rPr>
          <w:rFonts w:hint="eastAsia" w:ascii="宋体" w:hAnsi="宋体" w:eastAsia="方正仿宋_GBK" w:cs="方正仿宋_GBK"/>
          <w:sz w:val="33"/>
          <w:szCs w:val="33"/>
        </w:rPr>
        <w:t>。</w:t>
      </w:r>
    </w:p>
    <w:p>
      <w:pPr>
        <w:keepNext w:val="0"/>
        <w:keepLines w:val="0"/>
        <w:pageBreakBefore w:val="0"/>
        <w:widowControl w:val="0"/>
        <w:kinsoku/>
        <w:wordWrap/>
        <w:overflowPunct/>
        <w:topLinePunct w:val="0"/>
        <w:autoSpaceDE/>
        <w:autoSpaceDN/>
        <w:bidi w:val="0"/>
        <w:adjustRightInd w:val="0"/>
        <w:snapToGrid w:val="0"/>
        <w:spacing w:before="93" w:beforeLines="30" w:line="590" w:lineRule="exact"/>
        <w:ind w:firstLine="660" w:firstLineChars="20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公务用车运行维护费</w:t>
      </w:r>
      <w:r>
        <w:rPr>
          <w:rFonts w:hint="eastAsia" w:ascii="宋体" w:hAnsi="宋体" w:eastAsia="方正仿宋_GBK" w:cs="方正仿宋_GBK"/>
          <w:sz w:val="33"/>
          <w:szCs w:val="33"/>
          <w:lang w:val="en-US" w:eastAsia="zh-CN"/>
        </w:rPr>
        <w:t>3</w:t>
      </w:r>
      <w:r>
        <w:rPr>
          <w:rFonts w:hint="eastAsia" w:ascii="宋体" w:hAnsi="宋体" w:eastAsia="方正仿宋_GBK" w:cs="方正仿宋_GBK"/>
          <w:sz w:val="33"/>
          <w:szCs w:val="33"/>
        </w:rPr>
        <w:t>万元，较2023年预算</w:t>
      </w:r>
      <w:r>
        <w:rPr>
          <w:rFonts w:hint="eastAsia" w:ascii="宋体" w:hAnsi="宋体" w:eastAsia="方正仿宋_GBK" w:cs="方正仿宋_GBK"/>
          <w:sz w:val="33"/>
          <w:szCs w:val="33"/>
          <w:lang w:val="en-US" w:eastAsia="zh-CN"/>
        </w:rPr>
        <w:t>持平</w:t>
      </w:r>
      <w:r>
        <w:rPr>
          <w:rFonts w:hint="eastAsia" w:ascii="宋体" w:hAnsi="宋体" w:eastAsia="方正仿宋_GBK" w:cs="方正仿宋_GBK"/>
          <w:sz w:val="33"/>
          <w:szCs w:val="33"/>
        </w:rPr>
        <w:t>。用于</w:t>
      </w:r>
      <w:r>
        <w:rPr>
          <w:rFonts w:hint="eastAsia" w:ascii="宋体" w:hAnsi="宋体" w:eastAsia="方正仿宋_GBK" w:cs="方正仿宋_GBK"/>
          <w:sz w:val="33"/>
          <w:szCs w:val="33"/>
          <w:lang w:val="en-US" w:eastAsia="zh-CN"/>
        </w:rPr>
        <w:t>1</w:t>
      </w:r>
      <w:r>
        <w:rPr>
          <w:rFonts w:hint="eastAsia" w:ascii="宋体" w:hAnsi="宋体" w:eastAsia="方正仿宋_GBK" w:cs="方正仿宋_GBK"/>
          <w:sz w:val="33"/>
          <w:szCs w:val="33"/>
        </w:rPr>
        <w:t>辆公务用车燃油、维修、保险等方面支出。</w:t>
      </w:r>
    </w:p>
    <w:p>
      <w:pPr>
        <w:keepNext w:val="0"/>
        <w:keepLines w:val="0"/>
        <w:pageBreakBefore w:val="0"/>
        <w:widowControl w:val="0"/>
        <w:kinsoku/>
        <w:wordWrap/>
        <w:overflowPunct/>
        <w:topLinePunct w:val="0"/>
        <w:autoSpaceDE/>
        <w:autoSpaceDN/>
        <w:bidi w:val="0"/>
        <w:spacing w:line="590" w:lineRule="exact"/>
        <w:ind w:firstLine="660" w:firstLineChars="200"/>
        <w:textAlignment w:val="auto"/>
        <w:rPr>
          <w:rFonts w:hint="eastAsia" w:ascii="方正黑体_GBK" w:hAnsi="方正黑体_GBK" w:eastAsia="方正黑体_GBK" w:cs="方正黑体_GBK"/>
          <w:color w:val="FF0000"/>
          <w:sz w:val="33"/>
          <w:szCs w:val="33"/>
        </w:rPr>
      </w:pPr>
      <w:r>
        <w:rPr>
          <w:rFonts w:hint="eastAsia" w:ascii="方正黑体_GBK" w:hAnsi="方正黑体_GBK" w:eastAsia="方正黑体_GBK" w:cs="方正黑体_GBK"/>
          <w:sz w:val="33"/>
          <w:szCs w:val="33"/>
        </w:rPr>
        <w:t>八、政府性基金预算支出情况说明</w:t>
      </w:r>
    </w:p>
    <w:p>
      <w:pPr>
        <w:keepNext w:val="0"/>
        <w:keepLines w:val="0"/>
        <w:pageBreakBefore w:val="0"/>
        <w:widowControl w:val="0"/>
        <w:kinsoku/>
        <w:wordWrap/>
        <w:overflowPunct/>
        <w:topLinePunct w:val="0"/>
        <w:autoSpaceDE/>
        <w:autoSpaceDN/>
        <w:bidi w:val="0"/>
        <w:spacing w:line="590" w:lineRule="exact"/>
        <w:ind w:firstLine="660" w:firstLineChars="20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无政府性基金预算的单位表述为：2024年没有使用政府性基金预算拨款安排的支出。</w:t>
      </w:r>
    </w:p>
    <w:p>
      <w:pPr>
        <w:keepNext w:val="0"/>
        <w:keepLines w:val="0"/>
        <w:pageBreakBefore w:val="0"/>
        <w:widowControl w:val="0"/>
        <w:kinsoku/>
        <w:wordWrap/>
        <w:overflowPunct/>
        <w:topLinePunct w:val="0"/>
        <w:autoSpaceDE/>
        <w:autoSpaceDN/>
        <w:bidi w:val="0"/>
        <w:spacing w:line="590" w:lineRule="exact"/>
        <w:ind w:firstLine="660" w:firstLineChars="200"/>
        <w:textAlignment w:val="auto"/>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九、国有资本经营预算支出情况说明</w:t>
      </w:r>
    </w:p>
    <w:p>
      <w:pPr>
        <w:keepNext w:val="0"/>
        <w:keepLines w:val="0"/>
        <w:pageBreakBefore w:val="0"/>
        <w:widowControl w:val="0"/>
        <w:kinsoku/>
        <w:wordWrap/>
        <w:overflowPunct/>
        <w:topLinePunct w:val="0"/>
        <w:autoSpaceDE/>
        <w:autoSpaceDN/>
        <w:bidi w:val="0"/>
        <w:spacing w:line="590" w:lineRule="exact"/>
        <w:ind w:firstLine="660" w:firstLineChars="20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2024年没有使用国有资本经营预算拨款安排的支出。</w:t>
      </w:r>
    </w:p>
    <w:p>
      <w:pPr>
        <w:keepNext w:val="0"/>
        <w:keepLines w:val="0"/>
        <w:pageBreakBefore w:val="0"/>
        <w:widowControl w:val="0"/>
        <w:kinsoku/>
        <w:wordWrap/>
        <w:overflowPunct/>
        <w:topLinePunct w:val="0"/>
        <w:autoSpaceDE/>
        <w:autoSpaceDN/>
        <w:bidi w:val="0"/>
        <w:spacing w:line="590" w:lineRule="exact"/>
        <w:ind w:firstLine="660" w:firstLineChars="200"/>
        <w:textAlignment w:val="auto"/>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十、其他重要事项的情况说明</w:t>
      </w:r>
    </w:p>
    <w:p>
      <w:pPr>
        <w:keepNext w:val="0"/>
        <w:keepLines w:val="0"/>
        <w:pageBreakBefore w:val="0"/>
        <w:widowControl w:val="0"/>
        <w:kinsoku/>
        <w:wordWrap/>
        <w:overflowPunct/>
        <w:topLinePunct w:val="0"/>
        <w:autoSpaceDE/>
        <w:autoSpaceDN/>
        <w:bidi w:val="0"/>
        <w:spacing w:line="590" w:lineRule="exact"/>
        <w:ind w:firstLine="636" w:firstLineChars="192"/>
        <w:textAlignment w:val="auto"/>
        <w:rPr>
          <w:rFonts w:hint="eastAsia" w:ascii="方正楷体_GBK" w:hAnsi="方正楷体_GBK" w:eastAsia="方正楷体_GBK" w:cs="方正楷体_GBK"/>
          <w:b/>
          <w:sz w:val="33"/>
          <w:szCs w:val="33"/>
        </w:rPr>
      </w:pPr>
      <w:r>
        <w:rPr>
          <w:rFonts w:hint="eastAsia" w:ascii="方正楷体_GBK" w:hAnsi="方正楷体_GBK" w:eastAsia="方正楷体_GBK" w:cs="方正楷体_GBK"/>
          <w:b/>
          <w:sz w:val="33"/>
          <w:szCs w:val="33"/>
        </w:rPr>
        <w:t>（一）机关运行经费</w:t>
      </w:r>
    </w:p>
    <w:p>
      <w:pPr>
        <w:keepNext w:val="0"/>
        <w:keepLines w:val="0"/>
        <w:pageBreakBefore w:val="0"/>
        <w:widowControl w:val="0"/>
        <w:kinsoku/>
        <w:wordWrap/>
        <w:overflowPunct/>
        <w:topLinePunct w:val="0"/>
        <w:autoSpaceDE/>
        <w:autoSpaceDN/>
        <w:bidi w:val="0"/>
        <w:spacing w:line="590" w:lineRule="exact"/>
        <w:ind w:firstLine="630"/>
        <w:textAlignment w:val="auto"/>
        <w:rPr>
          <w:rFonts w:hint="eastAsia" w:ascii="宋体" w:hAnsi="宋体" w:eastAsia="方正仿宋_GBK" w:cs="方正仿宋_GBK"/>
          <w:color w:val="FF0000"/>
          <w:sz w:val="33"/>
          <w:szCs w:val="33"/>
        </w:rPr>
      </w:pPr>
      <w:r>
        <w:rPr>
          <w:rFonts w:hint="eastAsia" w:ascii="宋体" w:hAnsi="宋体" w:eastAsia="方正仿宋_GBK" w:cs="方正仿宋_GBK"/>
          <w:sz w:val="33"/>
          <w:szCs w:val="33"/>
        </w:rPr>
        <w:t>2024年机关运行经费财政拨款预算为</w:t>
      </w:r>
      <w:r>
        <w:rPr>
          <w:rFonts w:hint="eastAsia" w:ascii="宋体" w:hAnsi="宋体" w:eastAsia="方正仿宋_GBK" w:cs="方正仿宋_GBK"/>
          <w:sz w:val="33"/>
          <w:szCs w:val="33"/>
          <w:lang w:val="en-US" w:eastAsia="zh-CN"/>
        </w:rPr>
        <w:t>65.53</w:t>
      </w:r>
      <w:r>
        <w:rPr>
          <w:rFonts w:hint="eastAsia" w:ascii="宋体" w:hAnsi="宋体" w:eastAsia="方正仿宋_GBK" w:cs="方正仿宋_GBK"/>
          <w:sz w:val="33"/>
          <w:szCs w:val="33"/>
        </w:rPr>
        <w:t>万元，比2023年预算减少</w:t>
      </w:r>
      <w:r>
        <w:rPr>
          <w:rFonts w:hint="eastAsia" w:ascii="宋体" w:hAnsi="宋体" w:eastAsia="方正仿宋_GBK" w:cs="方正仿宋_GBK"/>
          <w:sz w:val="33"/>
          <w:szCs w:val="33"/>
          <w:lang w:val="en-US" w:eastAsia="zh-CN"/>
        </w:rPr>
        <w:t>5.7</w:t>
      </w:r>
      <w:r>
        <w:rPr>
          <w:rFonts w:hint="eastAsia" w:ascii="宋体" w:hAnsi="宋体" w:eastAsia="方正仿宋_GBK" w:cs="方正仿宋_GBK"/>
          <w:sz w:val="33"/>
          <w:szCs w:val="33"/>
        </w:rPr>
        <w:t>万元，下降</w:t>
      </w:r>
      <w:r>
        <w:rPr>
          <w:rFonts w:hint="eastAsia" w:ascii="宋体" w:hAnsi="宋体" w:eastAsia="方正仿宋_GBK" w:cs="方正仿宋_GBK"/>
          <w:sz w:val="33"/>
          <w:szCs w:val="33"/>
          <w:lang w:val="en-US" w:eastAsia="zh-CN"/>
        </w:rPr>
        <w:t>8</w:t>
      </w:r>
      <w:r>
        <w:rPr>
          <w:rFonts w:hint="eastAsia" w:ascii="宋体" w:hAnsi="宋体" w:eastAsia="方正仿宋_GBK" w:cs="方正仿宋_GBK"/>
          <w:sz w:val="33"/>
          <w:szCs w:val="33"/>
        </w:rPr>
        <w:t>%。</w:t>
      </w:r>
    </w:p>
    <w:p>
      <w:pPr>
        <w:keepNext w:val="0"/>
        <w:keepLines w:val="0"/>
        <w:pageBreakBefore w:val="0"/>
        <w:widowControl w:val="0"/>
        <w:kinsoku/>
        <w:wordWrap/>
        <w:overflowPunct/>
        <w:topLinePunct w:val="0"/>
        <w:autoSpaceDE/>
        <w:autoSpaceDN/>
        <w:bidi w:val="0"/>
        <w:spacing w:line="590" w:lineRule="exact"/>
        <w:ind w:firstLine="636" w:firstLineChars="192"/>
        <w:textAlignment w:val="auto"/>
        <w:rPr>
          <w:rFonts w:hint="eastAsia" w:ascii="方正楷体_GBK" w:hAnsi="方正楷体_GBK" w:eastAsia="方正楷体_GBK" w:cs="方正楷体_GBK"/>
          <w:b/>
          <w:sz w:val="33"/>
          <w:szCs w:val="33"/>
        </w:rPr>
      </w:pPr>
      <w:r>
        <w:rPr>
          <w:rFonts w:hint="eastAsia" w:ascii="方正楷体_GBK" w:hAnsi="方正楷体_GBK" w:eastAsia="方正楷体_GBK" w:cs="方正楷体_GBK"/>
          <w:b/>
          <w:sz w:val="33"/>
          <w:szCs w:val="33"/>
        </w:rPr>
        <w:t>（二）政府采购情况</w:t>
      </w:r>
    </w:p>
    <w:p>
      <w:pPr>
        <w:keepNext w:val="0"/>
        <w:keepLines w:val="0"/>
        <w:pageBreakBefore w:val="0"/>
        <w:widowControl w:val="0"/>
        <w:kinsoku/>
        <w:wordWrap/>
        <w:overflowPunct/>
        <w:topLinePunct w:val="0"/>
        <w:autoSpaceDE/>
        <w:autoSpaceDN/>
        <w:bidi w:val="0"/>
        <w:spacing w:line="590" w:lineRule="exact"/>
        <w:ind w:firstLine="660" w:firstLineChars="20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2024年，</w:t>
      </w:r>
      <w:r>
        <w:rPr>
          <w:rFonts w:hint="eastAsia" w:ascii="宋体" w:hAnsi="宋体" w:eastAsia="方正仿宋_GBK" w:cs="方正仿宋_GBK"/>
          <w:sz w:val="33"/>
          <w:szCs w:val="33"/>
          <w:lang w:val="en-US" w:eastAsia="zh-CN"/>
        </w:rPr>
        <w:t>雁江区商务局</w:t>
      </w:r>
      <w:r>
        <w:rPr>
          <w:rFonts w:hint="eastAsia" w:ascii="宋体" w:hAnsi="宋体" w:eastAsia="方正仿宋_GBK" w:cs="方正仿宋_GBK"/>
          <w:sz w:val="33"/>
          <w:szCs w:val="33"/>
        </w:rPr>
        <w:t>无政府采购项目，未安排政府采购预算。</w:t>
      </w:r>
    </w:p>
    <w:p>
      <w:pPr>
        <w:keepNext w:val="0"/>
        <w:keepLines w:val="0"/>
        <w:pageBreakBefore w:val="0"/>
        <w:widowControl w:val="0"/>
        <w:kinsoku/>
        <w:wordWrap/>
        <w:overflowPunct/>
        <w:topLinePunct w:val="0"/>
        <w:autoSpaceDE/>
        <w:autoSpaceDN/>
        <w:bidi w:val="0"/>
        <w:spacing w:line="590" w:lineRule="exact"/>
        <w:ind w:firstLine="636" w:firstLineChars="192"/>
        <w:textAlignment w:val="auto"/>
        <w:rPr>
          <w:rFonts w:hint="eastAsia" w:ascii="方正楷体_GBK" w:hAnsi="方正楷体_GBK" w:eastAsia="方正楷体_GBK" w:cs="方正楷体_GBK"/>
          <w:b/>
          <w:sz w:val="33"/>
          <w:szCs w:val="33"/>
        </w:rPr>
      </w:pPr>
      <w:r>
        <w:rPr>
          <w:rFonts w:hint="eastAsia" w:ascii="方正楷体_GBK" w:hAnsi="方正楷体_GBK" w:eastAsia="方正楷体_GBK" w:cs="方正楷体_GBK"/>
          <w:b/>
          <w:sz w:val="33"/>
          <w:szCs w:val="33"/>
        </w:rPr>
        <w:t>（三）国有资产占有使用情况</w:t>
      </w:r>
    </w:p>
    <w:p>
      <w:pPr>
        <w:keepNext w:val="0"/>
        <w:keepLines w:val="0"/>
        <w:pageBreakBefore w:val="0"/>
        <w:widowControl w:val="0"/>
        <w:kinsoku/>
        <w:wordWrap/>
        <w:overflowPunct/>
        <w:topLinePunct w:val="0"/>
        <w:autoSpaceDE/>
        <w:autoSpaceDN/>
        <w:bidi w:val="0"/>
        <w:spacing w:line="590" w:lineRule="exact"/>
        <w:ind w:firstLine="660" w:firstLineChars="20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截至2023年底，</w:t>
      </w:r>
      <w:r>
        <w:rPr>
          <w:rFonts w:hint="eastAsia" w:ascii="宋体" w:hAnsi="宋体" w:eastAsia="方正仿宋_GBK" w:cs="方正仿宋_GBK"/>
          <w:sz w:val="33"/>
          <w:szCs w:val="33"/>
          <w:lang w:val="en-US" w:eastAsia="zh-CN"/>
        </w:rPr>
        <w:t>雁江区商务局</w:t>
      </w:r>
      <w:r>
        <w:rPr>
          <w:rFonts w:hint="eastAsia" w:ascii="宋体" w:hAnsi="宋体" w:eastAsia="方正仿宋_GBK" w:cs="方正仿宋_GBK"/>
          <w:sz w:val="33"/>
          <w:szCs w:val="33"/>
        </w:rPr>
        <w:t>共有车辆</w:t>
      </w:r>
      <w:r>
        <w:rPr>
          <w:rFonts w:hint="eastAsia" w:ascii="宋体" w:hAnsi="宋体" w:eastAsia="方正仿宋_GBK" w:cs="方正仿宋_GBK"/>
          <w:sz w:val="33"/>
          <w:szCs w:val="33"/>
          <w:lang w:val="en-US" w:eastAsia="zh-CN"/>
        </w:rPr>
        <w:t>1</w:t>
      </w:r>
      <w:r>
        <w:rPr>
          <w:rFonts w:hint="eastAsia" w:ascii="宋体" w:hAnsi="宋体" w:eastAsia="方正仿宋_GBK" w:cs="方正仿宋_GBK"/>
          <w:sz w:val="33"/>
          <w:szCs w:val="33"/>
        </w:rPr>
        <w:t>辆，其中，领导干部用车</w:t>
      </w:r>
      <w:r>
        <w:rPr>
          <w:rFonts w:hint="eastAsia" w:ascii="宋体" w:hAnsi="宋体" w:eastAsia="方正仿宋_GBK" w:cs="方正仿宋_GBK"/>
          <w:sz w:val="33"/>
          <w:szCs w:val="33"/>
          <w:lang w:val="en-US" w:eastAsia="zh-CN"/>
        </w:rPr>
        <w:t>0辆、定向保障用车1辆、执法执勤用车0辆。单位价值100万元以上大型设备0台（</w:t>
      </w:r>
      <w:r>
        <w:rPr>
          <w:rFonts w:hint="eastAsia" w:ascii="宋体" w:hAnsi="宋体" w:eastAsia="方正仿宋_GBK" w:cs="方正仿宋_GBK"/>
          <w:sz w:val="33"/>
          <w:szCs w:val="33"/>
        </w:rPr>
        <w:t>套）。</w:t>
      </w:r>
    </w:p>
    <w:p>
      <w:pPr>
        <w:keepNext w:val="0"/>
        <w:keepLines w:val="0"/>
        <w:pageBreakBefore w:val="0"/>
        <w:widowControl w:val="0"/>
        <w:kinsoku/>
        <w:wordWrap/>
        <w:overflowPunct/>
        <w:topLinePunct w:val="0"/>
        <w:autoSpaceDE/>
        <w:autoSpaceDN/>
        <w:bidi w:val="0"/>
        <w:spacing w:line="590" w:lineRule="exact"/>
        <w:ind w:firstLine="660" w:firstLineChars="20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2024年单位预算未安排购置车辆及单位价值100万元以上大型设备。</w:t>
      </w:r>
    </w:p>
    <w:p>
      <w:pPr>
        <w:keepNext w:val="0"/>
        <w:keepLines w:val="0"/>
        <w:pageBreakBefore w:val="0"/>
        <w:widowControl w:val="0"/>
        <w:kinsoku/>
        <w:wordWrap/>
        <w:overflowPunct/>
        <w:topLinePunct w:val="0"/>
        <w:autoSpaceDE/>
        <w:autoSpaceDN/>
        <w:bidi w:val="0"/>
        <w:spacing w:line="590" w:lineRule="exact"/>
        <w:ind w:firstLine="636" w:firstLineChars="192"/>
        <w:textAlignment w:val="auto"/>
        <w:rPr>
          <w:rFonts w:hint="eastAsia" w:ascii="方正楷体_GBK" w:hAnsi="方正楷体_GBK" w:eastAsia="方正楷体_GBK" w:cs="方正楷体_GBK"/>
          <w:b/>
          <w:sz w:val="33"/>
          <w:szCs w:val="33"/>
        </w:rPr>
      </w:pPr>
      <w:r>
        <w:rPr>
          <w:rFonts w:hint="eastAsia" w:ascii="方正楷体_GBK" w:hAnsi="方正楷体_GBK" w:eastAsia="方正楷体_GBK" w:cs="方正楷体_GBK"/>
          <w:b/>
          <w:sz w:val="33"/>
          <w:szCs w:val="33"/>
        </w:rPr>
        <w:t>（四）绩效目标设置情况</w:t>
      </w:r>
    </w:p>
    <w:p>
      <w:pPr>
        <w:keepNext w:val="0"/>
        <w:keepLines w:val="0"/>
        <w:pageBreakBefore w:val="0"/>
        <w:widowControl w:val="0"/>
        <w:kinsoku/>
        <w:wordWrap/>
        <w:overflowPunct/>
        <w:topLinePunct w:val="0"/>
        <w:autoSpaceDE/>
        <w:autoSpaceDN/>
        <w:bidi w:val="0"/>
        <w:spacing w:line="590" w:lineRule="exact"/>
        <w:ind w:firstLine="660" w:firstLineChars="20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绩效目标是预算编制的前提和基础，按照“费随事定”的原则，2024年</w:t>
      </w:r>
      <w:r>
        <w:rPr>
          <w:rFonts w:hint="eastAsia" w:ascii="宋体" w:hAnsi="宋体" w:eastAsia="方正仿宋_GBK" w:cs="方正仿宋_GBK"/>
          <w:sz w:val="33"/>
          <w:szCs w:val="33"/>
          <w:lang w:val="en-US" w:eastAsia="zh-CN"/>
        </w:rPr>
        <w:t>雁江区商务局</w:t>
      </w:r>
      <w:r>
        <w:rPr>
          <w:rFonts w:hint="eastAsia" w:ascii="宋体" w:hAnsi="宋体" w:eastAsia="方正仿宋_GBK" w:cs="方正仿宋_GBK"/>
          <w:sz w:val="33"/>
          <w:szCs w:val="33"/>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val="0"/>
        <w:kinsoku/>
        <w:wordWrap/>
        <w:overflowPunct/>
        <w:topLinePunct w:val="0"/>
        <w:autoSpaceDE/>
        <w:autoSpaceDN/>
        <w:bidi w:val="0"/>
        <w:spacing w:line="590" w:lineRule="exact"/>
        <w:ind w:firstLine="660" w:firstLineChars="200"/>
        <w:textAlignment w:val="auto"/>
        <w:rPr>
          <w:rFonts w:hint="eastAsia" w:ascii="方正黑体_GBK" w:hAnsi="方正黑体_GBK" w:eastAsia="方正黑体_GBK" w:cs="方正黑体_GBK"/>
          <w:sz w:val="33"/>
          <w:szCs w:val="33"/>
        </w:rPr>
      </w:pPr>
      <w:r>
        <w:rPr>
          <w:rFonts w:hint="eastAsia" w:ascii="方正黑体_GBK" w:hAnsi="方正黑体_GBK" w:eastAsia="方正黑体_GBK" w:cs="方正黑体_GBK"/>
          <w:sz w:val="33"/>
          <w:szCs w:val="33"/>
        </w:rPr>
        <w:t>十一、名词解释</w:t>
      </w:r>
    </w:p>
    <w:p>
      <w:pPr>
        <w:keepNext w:val="0"/>
        <w:keepLines w:val="0"/>
        <w:pageBreakBefore w:val="0"/>
        <w:widowControl w:val="0"/>
        <w:shd w:val="clear" w:color="auto" w:fill="FFFFFF"/>
        <w:kinsoku/>
        <w:wordWrap/>
        <w:overflowPunct/>
        <w:topLinePunct w:val="0"/>
        <w:autoSpaceDE/>
        <w:autoSpaceDN/>
        <w:bidi w:val="0"/>
        <w:spacing w:line="590" w:lineRule="exact"/>
        <w:ind w:firstLine="660" w:firstLineChars="200"/>
        <w:jc w:val="left"/>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（一）一般公共预算拨款收入：指区级财政当年拨付的资金。</w:t>
      </w:r>
    </w:p>
    <w:p>
      <w:pPr>
        <w:keepNext w:val="0"/>
        <w:keepLines w:val="0"/>
        <w:pageBreakBefore w:val="0"/>
        <w:widowControl w:val="0"/>
        <w:shd w:val="clear" w:color="auto" w:fill="FFFFFF"/>
        <w:kinsoku/>
        <w:wordWrap/>
        <w:overflowPunct/>
        <w:topLinePunct w:val="0"/>
        <w:autoSpaceDE/>
        <w:autoSpaceDN/>
        <w:bidi w:val="0"/>
        <w:spacing w:line="590" w:lineRule="exact"/>
        <w:ind w:firstLine="660" w:firstLineChars="200"/>
        <w:jc w:val="left"/>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（二）上年结转：指以前年度尚未完成，结转到本年仍按原规定用途继续使用的资金。</w:t>
      </w:r>
    </w:p>
    <w:p>
      <w:pPr>
        <w:keepNext w:val="0"/>
        <w:keepLines w:val="0"/>
        <w:pageBreakBefore w:val="0"/>
        <w:widowControl w:val="0"/>
        <w:shd w:val="clear" w:color="auto" w:fill="FFFFFF"/>
        <w:kinsoku/>
        <w:wordWrap/>
        <w:overflowPunct/>
        <w:topLinePunct w:val="0"/>
        <w:autoSpaceDE/>
        <w:autoSpaceDN/>
        <w:bidi w:val="0"/>
        <w:spacing w:line="590" w:lineRule="exact"/>
        <w:ind w:firstLine="660" w:firstLineChars="200"/>
        <w:jc w:val="left"/>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（三）一般公共服务（201类）商贸事务（13款）行政运行（01项）：行政单位的基本支出。</w:t>
      </w:r>
    </w:p>
    <w:p>
      <w:pPr>
        <w:keepNext w:val="0"/>
        <w:keepLines w:val="0"/>
        <w:pageBreakBefore w:val="0"/>
        <w:widowControl w:val="0"/>
        <w:shd w:val="clear" w:color="auto" w:fill="FFFFFF"/>
        <w:kinsoku/>
        <w:wordWrap/>
        <w:overflowPunct/>
        <w:topLinePunct w:val="0"/>
        <w:autoSpaceDE/>
        <w:autoSpaceDN/>
        <w:bidi w:val="0"/>
        <w:spacing w:line="590" w:lineRule="exact"/>
        <w:ind w:firstLine="660" w:firstLineChars="200"/>
        <w:jc w:val="left"/>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（四）一般公共服务（201类）商贸事务（13款）一般行政管理事务（02项）：行政单位的项目支出。</w:t>
      </w:r>
    </w:p>
    <w:p>
      <w:pPr>
        <w:keepNext w:val="0"/>
        <w:keepLines w:val="0"/>
        <w:pageBreakBefore w:val="0"/>
        <w:widowControl w:val="0"/>
        <w:shd w:val="clear" w:color="auto" w:fill="FFFFFF"/>
        <w:kinsoku/>
        <w:wordWrap/>
        <w:overflowPunct/>
        <w:topLinePunct w:val="0"/>
        <w:autoSpaceDE/>
        <w:autoSpaceDN/>
        <w:bidi w:val="0"/>
        <w:spacing w:line="590" w:lineRule="exact"/>
        <w:ind w:firstLine="660" w:firstLineChars="200"/>
        <w:jc w:val="left"/>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（五）一般公共服务（</w:t>
      </w:r>
      <w:r>
        <w:rPr>
          <w:rFonts w:hint="eastAsia" w:ascii="宋体" w:hAnsi="宋体" w:eastAsia="方正仿宋_GBK" w:cs="方正仿宋_GBK"/>
          <w:sz w:val="33"/>
          <w:szCs w:val="33"/>
          <w:lang w:val="en-US" w:eastAsia="zh-CN"/>
        </w:rPr>
        <w:t>201</w:t>
      </w:r>
      <w:r>
        <w:rPr>
          <w:rFonts w:hint="eastAsia" w:ascii="宋体" w:hAnsi="宋体" w:eastAsia="方正仿宋_GBK" w:cs="方正仿宋_GBK"/>
          <w:sz w:val="33"/>
          <w:szCs w:val="33"/>
        </w:rPr>
        <w:t>类）商贸事务（</w:t>
      </w:r>
      <w:r>
        <w:rPr>
          <w:rFonts w:hint="eastAsia" w:ascii="宋体" w:hAnsi="宋体" w:eastAsia="方正仿宋_GBK" w:cs="方正仿宋_GBK"/>
          <w:sz w:val="33"/>
          <w:szCs w:val="33"/>
          <w:lang w:val="en-US" w:eastAsia="zh-CN"/>
        </w:rPr>
        <w:t>13</w:t>
      </w:r>
      <w:r>
        <w:rPr>
          <w:rFonts w:hint="eastAsia" w:ascii="宋体" w:hAnsi="宋体" w:eastAsia="方正仿宋_GBK" w:cs="方正仿宋_GBK"/>
          <w:sz w:val="33"/>
          <w:szCs w:val="33"/>
        </w:rPr>
        <w:t>款）</w:t>
      </w:r>
      <w:r>
        <w:rPr>
          <w:rFonts w:hint="eastAsia" w:ascii="宋体" w:hAnsi="宋体" w:eastAsia="方正仿宋_GBK" w:cs="方正仿宋_GBK"/>
          <w:sz w:val="33"/>
          <w:szCs w:val="33"/>
          <w:lang w:val="en-US" w:eastAsia="zh-CN"/>
        </w:rPr>
        <w:t>事业</w:t>
      </w:r>
      <w:r>
        <w:rPr>
          <w:rFonts w:hint="eastAsia" w:ascii="宋体" w:hAnsi="宋体" w:eastAsia="方正仿宋_GBK" w:cs="方正仿宋_GBK"/>
          <w:sz w:val="33"/>
          <w:szCs w:val="33"/>
        </w:rPr>
        <w:t>运行（</w:t>
      </w:r>
      <w:r>
        <w:rPr>
          <w:rFonts w:hint="eastAsia" w:ascii="宋体" w:hAnsi="宋体" w:eastAsia="方正仿宋_GBK" w:cs="方正仿宋_GBK"/>
          <w:sz w:val="33"/>
          <w:szCs w:val="33"/>
          <w:lang w:val="en-US" w:eastAsia="zh-CN"/>
        </w:rPr>
        <w:t>50</w:t>
      </w:r>
      <w:r>
        <w:rPr>
          <w:rFonts w:hint="eastAsia" w:ascii="宋体" w:hAnsi="宋体" w:eastAsia="方正仿宋_GBK" w:cs="方正仿宋_GBK"/>
          <w:sz w:val="33"/>
          <w:szCs w:val="33"/>
        </w:rPr>
        <w:t>项）：事业单位正常运转的基本支出，包括基本工资、津贴补贴等人员经费。</w:t>
      </w:r>
    </w:p>
    <w:p>
      <w:pPr>
        <w:keepNext w:val="0"/>
        <w:keepLines w:val="0"/>
        <w:pageBreakBefore w:val="0"/>
        <w:widowControl w:val="0"/>
        <w:shd w:val="clear" w:color="auto" w:fill="FFFFFF"/>
        <w:kinsoku/>
        <w:wordWrap/>
        <w:overflowPunct/>
        <w:topLinePunct w:val="0"/>
        <w:autoSpaceDE/>
        <w:autoSpaceDN/>
        <w:bidi w:val="0"/>
        <w:spacing w:line="590" w:lineRule="exact"/>
        <w:ind w:firstLine="660" w:firstLineChars="200"/>
        <w:jc w:val="left"/>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（六）社会保障和就业（208类）行政事业单位养老支出（05款）行政单位离退休（01项）：指工会机关离退休人员的支出。</w:t>
      </w:r>
    </w:p>
    <w:p>
      <w:pPr>
        <w:keepNext w:val="0"/>
        <w:keepLines w:val="0"/>
        <w:pageBreakBefore w:val="0"/>
        <w:widowControl w:val="0"/>
        <w:shd w:val="clear" w:color="auto" w:fill="FFFFFF"/>
        <w:kinsoku/>
        <w:wordWrap/>
        <w:overflowPunct/>
        <w:topLinePunct w:val="0"/>
        <w:autoSpaceDE/>
        <w:autoSpaceDN/>
        <w:bidi w:val="0"/>
        <w:spacing w:line="590" w:lineRule="exact"/>
        <w:ind w:firstLine="660" w:firstLineChars="200"/>
        <w:jc w:val="left"/>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（七）社会保障和就业（</w:t>
      </w:r>
      <w:r>
        <w:rPr>
          <w:rFonts w:hint="eastAsia" w:ascii="宋体" w:hAnsi="宋体" w:eastAsia="方正仿宋_GBK" w:cs="方正仿宋_GBK"/>
          <w:sz w:val="33"/>
          <w:szCs w:val="33"/>
          <w:lang w:val="en-US" w:eastAsia="zh-CN"/>
        </w:rPr>
        <w:t>208</w:t>
      </w:r>
      <w:r>
        <w:rPr>
          <w:rFonts w:hint="eastAsia" w:ascii="宋体" w:hAnsi="宋体" w:eastAsia="方正仿宋_GBK" w:cs="方正仿宋_GBK"/>
          <w:sz w:val="33"/>
          <w:szCs w:val="33"/>
        </w:rPr>
        <w:t>类）</w:t>
      </w:r>
      <w:r>
        <w:rPr>
          <w:rFonts w:hint="eastAsia" w:ascii="宋体" w:hAnsi="宋体" w:eastAsia="方正仿宋_GBK" w:cs="方正仿宋_GBK"/>
          <w:sz w:val="33"/>
          <w:szCs w:val="33"/>
          <w:lang w:val="en-US" w:eastAsia="zh-CN"/>
        </w:rPr>
        <w:t>其他社会保障和就业支出</w:t>
      </w:r>
      <w:r>
        <w:rPr>
          <w:rFonts w:hint="eastAsia" w:ascii="宋体" w:hAnsi="宋体" w:eastAsia="方正仿宋_GBK" w:cs="方正仿宋_GBK"/>
          <w:sz w:val="33"/>
          <w:szCs w:val="33"/>
        </w:rPr>
        <w:t>（</w:t>
      </w:r>
      <w:r>
        <w:rPr>
          <w:rFonts w:hint="eastAsia" w:ascii="宋体" w:hAnsi="宋体" w:eastAsia="方正仿宋_GBK" w:cs="方正仿宋_GBK"/>
          <w:sz w:val="33"/>
          <w:szCs w:val="33"/>
          <w:lang w:val="en-US" w:eastAsia="zh-CN"/>
        </w:rPr>
        <w:t>99</w:t>
      </w:r>
      <w:r>
        <w:rPr>
          <w:rFonts w:hint="eastAsia" w:ascii="宋体" w:hAnsi="宋体" w:eastAsia="方正仿宋_GBK" w:cs="方正仿宋_GBK"/>
          <w:sz w:val="33"/>
          <w:szCs w:val="33"/>
        </w:rPr>
        <w:t>款）</w:t>
      </w:r>
      <w:r>
        <w:rPr>
          <w:rFonts w:hint="eastAsia" w:ascii="宋体" w:hAnsi="宋体" w:eastAsia="方正仿宋_GBK" w:cs="方正仿宋_GBK"/>
          <w:sz w:val="33"/>
          <w:szCs w:val="33"/>
          <w:lang w:val="en-US" w:eastAsia="zh-CN"/>
        </w:rPr>
        <w:t>其他社会保障和就业支出</w:t>
      </w:r>
      <w:r>
        <w:rPr>
          <w:rFonts w:hint="eastAsia" w:ascii="宋体" w:hAnsi="宋体" w:eastAsia="方正仿宋_GBK" w:cs="方正仿宋_GBK"/>
          <w:sz w:val="33"/>
          <w:szCs w:val="33"/>
        </w:rPr>
        <w:t>（</w:t>
      </w:r>
      <w:r>
        <w:rPr>
          <w:rFonts w:hint="eastAsia" w:ascii="宋体" w:hAnsi="宋体" w:eastAsia="方正仿宋_GBK" w:cs="方正仿宋_GBK"/>
          <w:sz w:val="33"/>
          <w:szCs w:val="33"/>
          <w:lang w:val="en-US" w:eastAsia="zh-CN"/>
        </w:rPr>
        <w:t>99</w:t>
      </w:r>
      <w:r>
        <w:rPr>
          <w:rFonts w:hint="eastAsia" w:ascii="宋体" w:hAnsi="宋体" w:eastAsia="方正仿宋_GBK" w:cs="方正仿宋_GBK"/>
          <w:sz w:val="33"/>
          <w:szCs w:val="33"/>
        </w:rPr>
        <w:t>项）：保障局机关及下属事业单位人员</w:t>
      </w:r>
      <w:r>
        <w:rPr>
          <w:rFonts w:hint="eastAsia" w:ascii="宋体" w:hAnsi="宋体" w:eastAsia="方正仿宋_GBK" w:cs="方正仿宋_GBK"/>
          <w:sz w:val="33"/>
          <w:szCs w:val="33"/>
          <w:lang w:val="en-US" w:eastAsia="zh-CN"/>
        </w:rPr>
        <w:t>其他社会保障</w:t>
      </w:r>
      <w:r>
        <w:rPr>
          <w:rFonts w:hint="eastAsia" w:ascii="宋体" w:hAnsi="宋体" w:eastAsia="方正仿宋_GBK" w:cs="方正仿宋_GBK"/>
          <w:sz w:val="33"/>
          <w:szCs w:val="33"/>
        </w:rPr>
        <w:t>缴费支出。</w:t>
      </w:r>
    </w:p>
    <w:p>
      <w:pPr>
        <w:keepNext w:val="0"/>
        <w:keepLines w:val="0"/>
        <w:pageBreakBefore w:val="0"/>
        <w:widowControl w:val="0"/>
        <w:shd w:val="clear" w:color="auto" w:fill="FFFFFF"/>
        <w:kinsoku/>
        <w:wordWrap/>
        <w:overflowPunct/>
        <w:topLinePunct w:val="0"/>
        <w:autoSpaceDE/>
        <w:autoSpaceDN/>
        <w:bidi w:val="0"/>
        <w:spacing w:line="590" w:lineRule="exact"/>
        <w:ind w:firstLine="660" w:firstLineChars="200"/>
        <w:jc w:val="left"/>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（八）卫生健康支出（</w:t>
      </w:r>
      <w:r>
        <w:rPr>
          <w:rFonts w:hint="eastAsia" w:ascii="宋体" w:hAnsi="宋体" w:eastAsia="方正仿宋_GBK" w:cs="方正仿宋_GBK"/>
          <w:sz w:val="33"/>
          <w:szCs w:val="33"/>
          <w:lang w:val="en-US" w:eastAsia="zh-CN"/>
        </w:rPr>
        <w:t>210</w:t>
      </w:r>
      <w:r>
        <w:rPr>
          <w:rFonts w:hint="eastAsia" w:ascii="宋体" w:hAnsi="宋体" w:eastAsia="方正仿宋_GBK" w:cs="方正仿宋_GBK"/>
          <w:sz w:val="33"/>
          <w:szCs w:val="33"/>
        </w:rPr>
        <w:t>类）行政事业单位医疗（</w:t>
      </w:r>
      <w:r>
        <w:rPr>
          <w:rFonts w:hint="eastAsia" w:ascii="宋体" w:hAnsi="宋体" w:eastAsia="方正仿宋_GBK" w:cs="方正仿宋_GBK"/>
          <w:sz w:val="33"/>
          <w:szCs w:val="33"/>
          <w:lang w:val="en-US" w:eastAsia="zh-CN"/>
        </w:rPr>
        <w:t>11</w:t>
      </w:r>
      <w:r>
        <w:rPr>
          <w:rFonts w:hint="eastAsia" w:ascii="宋体" w:hAnsi="宋体" w:eastAsia="方正仿宋_GBK" w:cs="方正仿宋_GBK"/>
          <w:sz w:val="33"/>
          <w:szCs w:val="33"/>
        </w:rPr>
        <w:t>款）行政单位医疗（</w:t>
      </w:r>
      <w:r>
        <w:rPr>
          <w:rFonts w:hint="eastAsia" w:ascii="宋体" w:hAnsi="宋体" w:eastAsia="方正仿宋_GBK" w:cs="方正仿宋_GBK"/>
          <w:sz w:val="33"/>
          <w:szCs w:val="33"/>
          <w:lang w:val="en-US" w:eastAsia="zh-CN"/>
        </w:rPr>
        <w:t>01</w:t>
      </w:r>
      <w:r>
        <w:rPr>
          <w:rFonts w:hint="eastAsia" w:ascii="宋体" w:hAnsi="宋体" w:eastAsia="方正仿宋_GBK" w:cs="方正仿宋_GBK"/>
          <w:sz w:val="33"/>
          <w:szCs w:val="33"/>
        </w:rPr>
        <w:t>项）：局机关及参公管理事业单位基本医疗保险缴费支出。</w:t>
      </w:r>
    </w:p>
    <w:p>
      <w:pPr>
        <w:keepNext w:val="0"/>
        <w:keepLines w:val="0"/>
        <w:pageBreakBefore w:val="0"/>
        <w:widowControl w:val="0"/>
        <w:shd w:val="clear" w:color="auto" w:fill="FFFFFF"/>
        <w:kinsoku/>
        <w:wordWrap/>
        <w:overflowPunct/>
        <w:topLinePunct w:val="0"/>
        <w:autoSpaceDE/>
        <w:autoSpaceDN/>
        <w:bidi w:val="0"/>
        <w:spacing w:line="590" w:lineRule="exact"/>
        <w:ind w:firstLine="660" w:firstLineChars="200"/>
        <w:jc w:val="left"/>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（九）卫生健康（210类）行政事业单位医疗（11款）事业单位医疗（02项）：指事业单位用于单位应缴纳基本医疗保险支出。</w:t>
      </w:r>
    </w:p>
    <w:p>
      <w:pPr>
        <w:keepNext w:val="0"/>
        <w:keepLines w:val="0"/>
        <w:pageBreakBefore w:val="0"/>
        <w:widowControl w:val="0"/>
        <w:shd w:val="clear" w:color="auto" w:fill="FFFFFF"/>
        <w:kinsoku/>
        <w:wordWrap/>
        <w:overflowPunct/>
        <w:topLinePunct w:val="0"/>
        <w:autoSpaceDE/>
        <w:autoSpaceDN/>
        <w:bidi w:val="0"/>
        <w:spacing w:line="590" w:lineRule="exact"/>
        <w:ind w:firstLine="660" w:firstLineChars="200"/>
        <w:jc w:val="left"/>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（十）卫生健康（210类）行政事业单位医疗（11款）公务员医疗补助（03项）：指局机关及参公管理事业单位用于集中缴纳公务员医疗补助支出。</w:t>
      </w:r>
    </w:p>
    <w:p>
      <w:pPr>
        <w:keepNext w:val="0"/>
        <w:keepLines w:val="0"/>
        <w:pageBreakBefore w:val="0"/>
        <w:widowControl w:val="0"/>
        <w:shd w:val="clear" w:color="auto" w:fill="FFFFFF"/>
        <w:kinsoku/>
        <w:wordWrap/>
        <w:overflowPunct/>
        <w:topLinePunct w:val="0"/>
        <w:autoSpaceDE/>
        <w:autoSpaceDN/>
        <w:bidi w:val="0"/>
        <w:spacing w:line="590" w:lineRule="exact"/>
        <w:ind w:firstLine="660" w:firstLineChars="200"/>
        <w:jc w:val="left"/>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（十一）住房保障（221类）住房改革支出（02款）住房公积金（01项）：指按照《住房公积金管理条例》的规定，由单位及其在职职工缴存的长期住房储金。</w:t>
      </w:r>
    </w:p>
    <w:p>
      <w:pPr>
        <w:keepNext w:val="0"/>
        <w:keepLines w:val="0"/>
        <w:pageBreakBefore w:val="0"/>
        <w:widowControl w:val="0"/>
        <w:shd w:val="clear" w:color="auto" w:fill="FFFFFF"/>
        <w:kinsoku/>
        <w:wordWrap/>
        <w:overflowPunct/>
        <w:topLinePunct w:val="0"/>
        <w:autoSpaceDE/>
        <w:autoSpaceDN/>
        <w:bidi w:val="0"/>
        <w:spacing w:line="590" w:lineRule="exact"/>
        <w:ind w:firstLine="660" w:firstLineChars="200"/>
        <w:jc w:val="left"/>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（十二）基本支出：指为保证机构正常运转，完成日常工作任务而发生的人员支出和公用支出。</w:t>
      </w:r>
    </w:p>
    <w:p>
      <w:pPr>
        <w:keepNext w:val="0"/>
        <w:keepLines w:val="0"/>
        <w:pageBreakBefore w:val="0"/>
        <w:widowControl w:val="0"/>
        <w:shd w:val="clear" w:color="auto" w:fill="FFFFFF"/>
        <w:kinsoku/>
        <w:wordWrap/>
        <w:overflowPunct/>
        <w:topLinePunct w:val="0"/>
        <w:autoSpaceDE/>
        <w:autoSpaceDN/>
        <w:bidi w:val="0"/>
        <w:spacing w:line="590" w:lineRule="exact"/>
        <w:ind w:firstLine="660" w:firstLineChars="200"/>
        <w:jc w:val="left"/>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（十三）项目支出：指在基本支出之外为完成特定行政任务和事业发展目标所发生的支出。</w:t>
      </w:r>
    </w:p>
    <w:p>
      <w:pPr>
        <w:keepNext w:val="0"/>
        <w:keepLines w:val="0"/>
        <w:pageBreakBefore w:val="0"/>
        <w:widowControl w:val="0"/>
        <w:shd w:val="clear" w:color="auto" w:fill="FFFFFF"/>
        <w:kinsoku/>
        <w:wordWrap/>
        <w:overflowPunct/>
        <w:topLinePunct w:val="0"/>
        <w:autoSpaceDE/>
        <w:autoSpaceDN/>
        <w:bidi w:val="0"/>
        <w:spacing w:line="590" w:lineRule="exact"/>
        <w:ind w:firstLine="660" w:firstLineChars="200"/>
        <w:jc w:val="left"/>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十四）“三公”经费：纳入财政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keepNext w:val="0"/>
        <w:keepLines w:val="0"/>
        <w:pageBreakBefore w:val="0"/>
        <w:widowControl w:val="0"/>
        <w:shd w:val="clear" w:color="auto" w:fill="FFFFFF"/>
        <w:kinsoku/>
        <w:wordWrap/>
        <w:overflowPunct/>
        <w:topLinePunct w:val="0"/>
        <w:autoSpaceDE/>
        <w:autoSpaceDN/>
        <w:bidi w:val="0"/>
        <w:spacing w:line="590" w:lineRule="exact"/>
        <w:ind w:firstLine="660" w:firstLineChars="200"/>
        <w:jc w:val="left"/>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十五）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keepNext w:val="0"/>
        <w:keepLines w:val="0"/>
        <w:pageBreakBefore w:val="0"/>
        <w:widowControl w:val="0"/>
        <w:shd w:val="clear" w:color="auto" w:fill="FFFFFF"/>
        <w:kinsoku/>
        <w:wordWrap/>
        <w:overflowPunct/>
        <w:topLinePunct w:val="0"/>
        <w:autoSpaceDE/>
        <w:autoSpaceDN/>
        <w:bidi w:val="0"/>
        <w:spacing w:line="590" w:lineRule="exact"/>
        <w:ind w:firstLine="660" w:firstLineChars="200"/>
        <w:jc w:val="left"/>
        <w:textAlignment w:val="auto"/>
        <w:rPr>
          <w:rFonts w:hint="eastAsia" w:ascii="宋体" w:hAnsi="宋体" w:eastAsia="方正仿宋_GBK" w:cs="方正仿宋_GBK"/>
          <w:sz w:val="33"/>
          <w:szCs w:val="33"/>
        </w:rPr>
      </w:pPr>
    </w:p>
    <w:p>
      <w:pPr>
        <w:keepNext w:val="0"/>
        <w:keepLines w:val="0"/>
        <w:pageBreakBefore w:val="0"/>
        <w:widowControl w:val="0"/>
        <w:kinsoku/>
        <w:wordWrap/>
        <w:overflowPunct/>
        <w:topLinePunct w:val="0"/>
        <w:autoSpaceDE/>
        <w:autoSpaceDN/>
        <w:bidi w:val="0"/>
        <w:spacing w:line="590" w:lineRule="exact"/>
        <w:ind w:firstLine="660" w:firstLineChars="20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rPr>
        <w:t>附件：</w:t>
      </w:r>
      <w:r>
        <w:rPr>
          <w:rFonts w:hint="eastAsia" w:ascii="宋体" w:hAnsi="宋体" w:eastAsia="方正仿宋_GBK" w:cs="方正仿宋_GBK"/>
          <w:sz w:val="33"/>
          <w:szCs w:val="33"/>
          <w:lang w:val="en-US" w:eastAsia="zh-CN"/>
        </w:rPr>
        <w:t xml:space="preserve">1. </w:t>
      </w:r>
      <w:r>
        <w:rPr>
          <w:rFonts w:hint="eastAsia" w:ascii="宋体" w:hAnsi="宋体" w:eastAsia="方正仿宋_GBK" w:cs="方正仿宋_GBK"/>
          <w:sz w:val="33"/>
          <w:szCs w:val="33"/>
        </w:rPr>
        <w:t>2024年单位预算公开表</w:t>
      </w:r>
    </w:p>
    <w:p>
      <w:pPr>
        <w:keepNext w:val="0"/>
        <w:keepLines w:val="0"/>
        <w:pageBreakBefore w:val="0"/>
        <w:widowControl w:val="0"/>
        <w:numPr>
          <w:ilvl w:val="0"/>
          <w:numId w:val="1"/>
        </w:numPr>
        <w:kinsoku/>
        <w:wordWrap/>
        <w:overflowPunct/>
        <w:topLinePunct w:val="0"/>
        <w:autoSpaceDE/>
        <w:autoSpaceDN/>
        <w:bidi w:val="0"/>
        <w:spacing w:line="590" w:lineRule="exact"/>
        <w:ind w:firstLine="1650" w:firstLineChars="500"/>
        <w:textAlignment w:val="auto"/>
        <w:rPr>
          <w:rFonts w:hint="eastAsia" w:ascii="宋体" w:hAnsi="宋体" w:eastAsia="方正仿宋_GBK" w:cs="方正仿宋_GBK"/>
          <w:sz w:val="33"/>
          <w:szCs w:val="33"/>
        </w:rPr>
      </w:pPr>
      <w:r>
        <w:rPr>
          <w:rFonts w:hint="eastAsia" w:ascii="宋体" w:hAnsi="宋体" w:eastAsia="方正仿宋_GBK" w:cs="方正仿宋_GBK"/>
          <w:sz w:val="33"/>
          <w:szCs w:val="33"/>
          <w:lang w:val="en-US" w:eastAsia="zh-CN"/>
        </w:rPr>
        <w:t>2024年部门预算项目绩效目标表</w:t>
      </w:r>
    </w:p>
    <w:p>
      <w:pPr>
        <w:keepNext w:val="0"/>
        <w:keepLines w:val="0"/>
        <w:pageBreakBefore w:val="0"/>
        <w:widowControl w:val="0"/>
        <w:numPr>
          <w:ilvl w:val="0"/>
          <w:numId w:val="1"/>
        </w:numPr>
        <w:kinsoku/>
        <w:wordWrap/>
        <w:overflowPunct/>
        <w:topLinePunct w:val="0"/>
        <w:autoSpaceDE/>
        <w:autoSpaceDN/>
        <w:bidi w:val="0"/>
        <w:spacing w:line="590" w:lineRule="exact"/>
        <w:ind w:left="0" w:leftChars="0" w:firstLine="1650" w:firstLineChars="500"/>
        <w:textAlignment w:val="auto"/>
        <w:rPr>
          <w:rFonts w:hint="eastAsia" w:ascii="宋体" w:hAnsi="宋体" w:eastAsia="方正仿宋_GBK" w:cs="方正仿宋_GBK"/>
          <w:sz w:val="33"/>
          <w:szCs w:val="33"/>
          <w:lang w:val="en-US" w:eastAsia="zh-CN"/>
        </w:rPr>
      </w:pPr>
      <w:r>
        <w:rPr>
          <w:rFonts w:hint="eastAsia" w:ascii="宋体" w:hAnsi="宋体" w:eastAsia="方正仿宋_GBK" w:cs="方正仿宋_GBK"/>
          <w:sz w:val="33"/>
          <w:szCs w:val="33"/>
          <w:lang w:val="en-US" w:eastAsia="zh-CN"/>
        </w:rPr>
        <w:t>2024年部门整体支出绩效目标表</w:t>
      </w:r>
    </w:p>
    <w:p>
      <w:pPr>
        <w:adjustRightInd w:val="0"/>
        <w:snapToGrid w:val="0"/>
        <w:spacing w:before="93" w:beforeLines="30" w:line="600" w:lineRule="exact"/>
        <w:ind w:firstLine="640" w:firstLineChars="200"/>
        <w:rPr>
          <w:rFonts w:eastAsia="仿宋_GB2312"/>
          <w:bCs/>
          <w:color w:val="FF0000"/>
          <w:sz w:val="32"/>
          <w:szCs w:val="32"/>
        </w:rPr>
      </w:pPr>
    </w:p>
    <w:p>
      <w:pPr>
        <w:adjustRightInd w:val="0"/>
        <w:snapToGrid w:val="0"/>
        <w:spacing w:before="93" w:beforeLines="30" w:line="600" w:lineRule="exact"/>
        <w:ind w:firstLine="640" w:firstLineChars="200"/>
        <w:rPr>
          <w:rFonts w:eastAsia="仿宋_GB2312"/>
          <w:bCs/>
          <w:color w:val="FF0000"/>
          <w:sz w:val="32"/>
          <w:szCs w:val="32"/>
        </w:rPr>
      </w:pPr>
    </w:p>
    <w:p>
      <w:pPr>
        <w:adjustRightInd w:val="0"/>
        <w:snapToGrid w:val="0"/>
        <w:spacing w:before="93" w:beforeLines="30" w:line="600" w:lineRule="exact"/>
        <w:ind w:firstLine="640" w:firstLineChars="200"/>
        <w:rPr>
          <w:rFonts w:eastAsia="仿宋_GB2312"/>
          <w:bCs/>
          <w:color w:val="FF0000"/>
          <w:sz w:val="32"/>
          <w:szCs w:val="32"/>
        </w:rPr>
      </w:pPr>
    </w:p>
    <w:tbl>
      <w:tblPr>
        <w:tblStyle w:val="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59"/>
        <w:gridCol w:w="1054"/>
        <w:gridCol w:w="3500"/>
        <w:gridCol w:w="1406"/>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542" w:type="pct"/>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58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57" w:type="pct"/>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86" w:type="pct"/>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表1</w:t>
            </w:r>
          </w:p>
        </w:tc>
        <w:tc>
          <w:tcPr>
            <w:tcW w:w="124" w:type="pct"/>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4875" w:type="pct"/>
            <w:gridSpan w:val="4"/>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部门收支总表</w:t>
            </w: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542" w:type="pct"/>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w:t>
            </w:r>
          </w:p>
        </w:tc>
        <w:tc>
          <w:tcPr>
            <w:tcW w:w="58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5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6" w:type="pct"/>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2132" w:type="pct"/>
            <w:gridSpan w:val="2"/>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    入</w:t>
            </w:r>
          </w:p>
        </w:tc>
        <w:tc>
          <w:tcPr>
            <w:tcW w:w="2743" w:type="pct"/>
            <w:gridSpan w:val="2"/>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    出</w:t>
            </w: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542"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589"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c>
          <w:tcPr>
            <w:tcW w:w="1957"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786"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一、一般公共预算拨款收入 </w:t>
            </w: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564.20</w:t>
            </w: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一、一般公共服务支出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476.03</w:t>
            </w: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二、政府性基金预算拨款收入 </w:t>
            </w: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二、外交支出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三、国有资本经营预算拨款收入 </w:t>
            </w: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三、国防支出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四、事业收入 </w:t>
            </w: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四、公共安全支出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五、事业单位经营收入 </w:t>
            </w: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五、教育支出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六、其他收入 </w:t>
            </w: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六、科学技术支出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七、文化旅游体育与传媒支出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八、社会保障和就业支出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39.71</w:t>
            </w: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九、社会保险基金支出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十、卫生健康支出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16.03</w:t>
            </w: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十一、节能环保支出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十二、城乡社区支出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十三、农林水支出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十四、交通运输支出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十五、资源勘探工业信息等支出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十六、商业服务业等支出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十七、金融支出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十八、援助其他地区支出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十九、自然资源海洋气象等支出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二十、住房保障支出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32.43</w:t>
            </w: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二十一、粮油物资储备支出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二十二、国有资本经营预算支出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二十三、灾害防治及应急管理支出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二十四、其他支出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二十五、债务还本支出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二十六、债务付息支出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二十七、债务发行费用支出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二十八、抗疫特别国债安排的支出</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Style w:val="8"/>
                <w:lang w:val="en-US" w:eastAsia="zh-CN" w:bidi="ar"/>
              </w:rPr>
              <w:t>本 年 收 入 合 计</w:t>
            </w: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564.20</w:t>
            </w:r>
          </w:p>
        </w:tc>
        <w:tc>
          <w:tcPr>
            <w:tcW w:w="1957"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Style w:val="8"/>
                <w:lang w:val="en-US" w:eastAsia="zh-CN" w:bidi="ar"/>
              </w:rPr>
              <w:t>本 年 支 出 合 计</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564.20</w:t>
            </w:r>
          </w:p>
        </w:tc>
        <w:tc>
          <w:tcPr>
            <w:tcW w:w="124"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七、上年结转</w:t>
            </w: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5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 w:type="pct"/>
            <w:tcBorders>
              <w:top w:val="single" w:color="FFFFFF" w:sz="4" w:space="0"/>
              <w:left w:val="nil"/>
              <w:bottom w:val="single" w:color="FFFFFF" w:sz="4" w:space="0"/>
              <w:right w:val="nil"/>
            </w:tcBorders>
            <w:shd w:val="clear" w:color="auto" w:fill="auto"/>
            <w:vAlign w:val="center"/>
          </w:tcPr>
          <w:p>
            <w:pPr>
              <w:rPr>
                <w:rFonts w:hint="eastAsia" w:ascii="Hiragino Sans GB" w:hAnsi="Hiragino Sans GB" w:eastAsia="Hiragino Sans GB" w:cs="Hiragino Sans GB"/>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54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  入  总  计</w:t>
            </w:r>
          </w:p>
        </w:tc>
        <w:tc>
          <w:tcPr>
            <w:tcW w:w="58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564.20</w:t>
            </w:r>
          </w:p>
        </w:tc>
        <w:tc>
          <w:tcPr>
            <w:tcW w:w="195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  出  总  计</w:t>
            </w:r>
          </w:p>
        </w:tc>
        <w:tc>
          <w:tcPr>
            <w:tcW w:w="78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564.20</w:t>
            </w:r>
          </w:p>
        </w:tc>
        <w:tc>
          <w:tcPr>
            <w:tcW w:w="124" w:type="pct"/>
            <w:tcBorders>
              <w:top w:val="single" w:color="FFFFFF" w:sz="4" w:space="0"/>
              <w:left w:val="nil"/>
              <w:bottom w:val="single" w:color="FFFFFF" w:sz="4" w:space="0"/>
              <w:right w:val="nil"/>
            </w:tcBorders>
            <w:shd w:val="clear" w:color="auto" w:fill="auto"/>
            <w:vAlign w:val="center"/>
          </w:tcPr>
          <w:p>
            <w:pPr>
              <w:rPr>
                <w:rFonts w:hint="default" w:ascii="Hiragino Sans GB" w:hAnsi="Hiragino Sans GB" w:eastAsia="Hiragino Sans GB" w:cs="Hiragino Sans GB"/>
                <w:b/>
                <w:bCs/>
                <w:i w:val="0"/>
                <w:iCs w:val="0"/>
                <w:color w:val="000000"/>
                <w:sz w:val="18"/>
                <w:szCs w:val="18"/>
                <w:u w:val="none"/>
              </w:rPr>
            </w:pPr>
          </w:p>
        </w:tc>
      </w:tr>
    </w:tbl>
    <w:p/>
    <w:p/>
    <w:p/>
    <w:p/>
    <w:p>
      <w:pPr>
        <w:sectPr>
          <w:footerReference r:id="rId3" w:type="default"/>
          <w:pgSz w:w="11906" w:h="16838"/>
          <w:pgMar w:top="1440" w:right="1588" w:bottom="1440" w:left="1588" w:header="851" w:footer="992" w:gutter="0"/>
          <w:pgNumType w:fmt="numberInDash"/>
          <w:cols w:space="425" w:num="1"/>
          <w:docGrid w:type="lines" w:linePitch="312" w:charSpace="0"/>
        </w:sectPr>
      </w:pPr>
    </w:p>
    <w:tbl>
      <w:tblPr>
        <w:tblStyle w:val="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2"/>
        <w:gridCol w:w="919"/>
        <w:gridCol w:w="2334"/>
        <w:gridCol w:w="891"/>
        <w:gridCol w:w="891"/>
        <w:gridCol w:w="891"/>
        <w:gridCol w:w="892"/>
        <w:gridCol w:w="892"/>
        <w:gridCol w:w="895"/>
        <w:gridCol w:w="895"/>
        <w:gridCol w:w="892"/>
        <w:gridCol w:w="892"/>
        <w:gridCol w:w="906"/>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8" w:type="pct"/>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4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39" w:type="pct"/>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78" w:type="pct"/>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582" w:type="pct"/>
            <w:gridSpan w:val="12"/>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部门收入总表</w:t>
            </w:r>
          </w:p>
        </w:tc>
        <w:tc>
          <w:tcPr>
            <w:tcW w:w="339" w:type="pct"/>
            <w:tcBorders>
              <w:top w:val="single" w:color="FFFFFF" w:sz="4" w:space="0"/>
              <w:left w:val="single" w:color="FFFFFF" w:sz="4" w:space="0"/>
              <w:bottom w:val="single" w:color="FFFFFF"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78" w:type="pct"/>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48" w:type="pct"/>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w:t>
            </w:r>
          </w:p>
        </w:tc>
        <w:tc>
          <w:tcPr>
            <w:tcW w:w="846" w:type="pct"/>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8" w:type="pct"/>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8" w:type="pct"/>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 w:type="pct"/>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8" w:type="pct"/>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 w:type="pct"/>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9" w:type="pct"/>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9" w:type="pct"/>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 w:type="pct"/>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 w:type="pct"/>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 w:type="pct"/>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9" w:type="pct"/>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78" w:type="pct"/>
            <w:tcBorders>
              <w:top w:val="single" w:color="FFFFFF" w:sz="4" w:space="0"/>
              <w:left w:val="single" w:color="FFFFFF" w:sz="4" w:space="0"/>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95" w:type="pct"/>
            <w:gridSpan w:val="2"/>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338" w:type="pct"/>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338" w:type="pct"/>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上年结转</w:t>
            </w:r>
          </w:p>
        </w:tc>
        <w:tc>
          <w:tcPr>
            <w:tcW w:w="338" w:type="pct"/>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一般公共预算拨款收入</w:t>
            </w:r>
          </w:p>
        </w:tc>
        <w:tc>
          <w:tcPr>
            <w:tcW w:w="338" w:type="pct"/>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338" w:type="pct"/>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国有资本经营预算拨款收入</w:t>
            </w:r>
          </w:p>
        </w:tc>
        <w:tc>
          <w:tcPr>
            <w:tcW w:w="339" w:type="pct"/>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事业收入</w:t>
            </w:r>
          </w:p>
        </w:tc>
        <w:tc>
          <w:tcPr>
            <w:tcW w:w="339" w:type="pct"/>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事业单位经营收入 </w:t>
            </w:r>
          </w:p>
        </w:tc>
        <w:tc>
          <w:tcPr>
            <w:tcW w:w="338" w:type="pct"/>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其他收入</w:t>
            </w:r>
          </w:p>
        </w:tc>
        <w:tc>
          <w:tcPr>
            <w:tcW w:w="338" w:type="pct"/>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上级补助收入</w:t>
            </w:r>
          </w:p>
        </w:tc>
        <w:tc>
          <w:tcPr>
            <w:tcW w:w="338" w:type="pct"/>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附属单位上缴收入</w:t>
            </w:r>
          </w:p>
        </w:tc>
        <w:tc>
          <w:tcPr>
            <w:tcW w:w="339" w:type="pct"/>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财政专户管理资金收入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78" w:type="pct"/>
            <w:tcBorders>
              <w:top w:val="single" w:color="FFFFFF" w:sz="4" w:space="0"/>
              <w:left w:val="single" w:color="FFFFFF" w:sz="4" w:space="0"/>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8" w:type="pc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单位代码</w:t>
            </w:r>
          </w:p>
        </w:tc>
        <w:tc>
          <w:tcPr>
            <w:tcW w:w="846" w:type="pc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单位名称（科目）</w:t>
            </w:r>
          </w:p>
        </w:tc>
        <w:tc>
          <w:tcPr>
            <w:tcW w:w="338" w:type="pct"/>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338" w:type="pct"/>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338" w:type="pct"/>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338" w:type="pct"/>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338" w:type="pct"/>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339" w:type="pct"/>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339" w:type="pct"/>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338" w:type="pct"/>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338" w:type="pct"/>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338" w:type="pct"/>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339" w:type="pct"/>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78" w:type="pct"/>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b/>
                <w:bCs/>
                <w:i w:val="0"/>
                <w:iCs w:val="0"/>
                <w:color w:val="000000"/>
                <w:sz w:val="18"/>
                <w:szCs w:val="18"/>
                <w:u w:val="none"/>
              </w:rPr>
            </w:pPr>
          </w:p>
        </w:tc>
        <w:tc>
          <w:tcPr>
            <w:tcW w:w="34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4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33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564.20</w:t>
            </w:r>
          </w:p>
        </w:tc>
        <w:tc>
          <w:tcPr>
            <w:tcW w:w="33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3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564.20</w:t>
            </w:r>
          </w:p>
        </w:tc>
        <w:tc>
          <w:tcPr>
            <w:tcW w:w="33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3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39"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39"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3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3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3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39"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8" w:type="pct"/>
            <w:tcBorders>
              <w:top w:val="single" w:color="FFFFFF" w:sz="4" w:space="0"/>
              <w:left w:val="single" w:color="FFFFFF" w:sz="4" w:space="0"/>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846"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3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564.20</w:t>
            </w:r>
          </w:p>
        </w:tc>
        <w:tc>
          <w:tcPr>
            <w:tcW w:w="33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564.20</w:t>
            </w:r>
          </w:p>
        </w:tc>
        <w:tc>
          <w:tcPr>
            <w:tcW w:w="33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9"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9"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9"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78" w:type="pct"/>
            <w:tcBorders>
              <w:top w:val="single" w:color="FFFFFF" w:sz="4" w:space="0"/>
              <w:left w:val="single" w:color="FFFFFF" w:sz="4" w:space="0"/>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4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846"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资阳市雁江区商务局</w:t>
            </w:r>
          </w:p>
        </w:tc>
        <w:tc>
          <w:tcPr>
            <w:tcW w:w="33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564.20</w:t>
            </w:r>
          </w:p>
        </w:tc>
        <w:tc>
          <w:tcPr>
            <w:tcW w:w="33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33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564.20</w:t>
            </w:r>
          </w:p>
        </w:tc>
        <w:tc>
          <w:tcPr>
            <w:tcW w:w="33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33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339"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339"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33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33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33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339"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bl>
    <w:p/>
    <w:p/>
    <w:p/>
    <w:p/>
    <w:p/>
    <w:p/>
    <w:p/>
    <w:p/>
    <w:tbl>
      <w:tblPr>
        <w:tblStyle w:val="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7"/>
        <w:gridCol w:w="628"/>
        <w:gridCol w:w="632"/>
        <w:gridCol w:w="1876"/>
        <w:gridCol w:w="4555"/>
        <w:gridCol w:w="1817"/>
        <w:gridCol w:w="1820"/>
        <w:gridCol w:w="1831"/>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23" w:type="pct"/>
            <w:gridSpan w:val="3"/>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6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0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41"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42"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44" w:type="pct"/>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表1-2</w:t>
            </w:r>
          </w:p>
        </w:tc>
        <w:tc>
          <w:tcPr>
            <w:tcW w:w="78" w:type="pct"/>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4921" w:type="pct"/>
            <w:gridSpan w:val="8"/>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部门支出总表</w:t>
            </w:r>
          </w:p>
        </w:tc>
        <w:tc>
          <w:tcPr>
            <w:tcW w:w="78" w:type="pct"/>
            <w:tcBorders>
              <w:top w:val="single" w:color="FFFFFF" w:sz="4" w:space="0"/>
              <w:left w:val="single" w:color="FFFFFF" w:sz="4" w:space="0"/>
              <w:bottom w:val="single" w:color="FFFFFF"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2992" w:type="pct"/>
            <w:gridSpan w:val="5"/>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w:t>
            </w:r>
          </w:p>
        </w:tc>
        <w:tc>
          <w:tcPr>
            <w:tcW w:w="641" w:type="pct"/>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42" w:type="pct"/>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44" w:type="pct"/>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c>
          <w:tcPr>
            <w:tcW w:w="78" w:type="pct"/>
            <w:tcBorders>
              <w:top w:val="single" w:color="FFFFFF" w:sz="4" w:space="0"/>
              <w:left w:val="single" w:color="FFFFFF" w:sz="4" w:space="0"/>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2992" w:type="pct"/>
            <w:gridSpan w:val="5"/>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641"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642"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644"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c>
          <w:tcPr>
            <w:tcW w:w="78" w:type="pct"/>
            <w:tcBorders>
              <w:top w:val="single" w:color="FFFFFF" w:sz="4" w:space="0"/>
              <w:left w:val="nil"/>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723" w:type="pct"/>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662"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单位代码</w:t>
            </w:r>
          </w:p>
        </w:tc>
        <w:tc>
          <w:tcPr>
            <w:tcW w:w="1607"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单位名称（科目）</w:t>
            </w:r>
          </w:p>
        </w:tc>
        <w:tc>
          <w:tcPr>
            <w:tcW w:w="641"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642"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644"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78" w:type="pct"/>
            <w:tcBorders>
              <w:top w:val="single" w:color="FFFFFF" w:sz="4" w:space="0"/>
              <w:left w:val="nil"/>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278" w:type="pc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222" w:type="pc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222" w:type="pc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w:t>
            </w:r>
          </w:p>
        </w:tc>
        <w:tc>
          <w:tcPr>
            <w:tcW w:w="662"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607"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641"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642"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644"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78"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7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22"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22"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662"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07"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64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564.20</w:t>
            </w:r>
          </w:p>
        </w:tc>
        <w:tc>
          <w:tcPr>
            <w:tcW w:w="642"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397.60</w:t>
            </w:r>
          </w:p>
        </w:tc>
        <w:tc>
          <w:tcPr>
            <w:tcW w:w="644"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166.60</w:t>
            </w:r>
          </w:p>
        </w:tc>
        <w:tc>
          <w:tcPr>
            <w:tcW w:w="78"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7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2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2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66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1607"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4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564.20</w:t>
            </w:r>
          </w:p>
        </w:tc>
        <w:tc>
          <w:tcPr>
            <w:tcW w:w="642"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397.60</w:t>
            </w:r>
          </w:p>
        </w:tc>
        <w:tc>
          <w:tcPr>
            <w:tcW w:w="644"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166.60</w:t>
            </w:r>
          </w:p>
        </w:tc>
        <w:tc>
          <w:tcPr>
            <w:tcW w:w="78" w:type="pct"/>
            <w:tcBorders>
              <w:top w:val="single" w:color="FFFFFF" w:sz="4" w:space="0"/>
              <w:left w:val="nil"/>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7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2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2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66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1607"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资阳市雁江区商务局</w:t>
            </w:r>
          </w:p>
        </w:tc>
        <w:tc>
          <w:tcPr>
            <w:tcW w:w="64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564.20</w:t>
            </w:r>
          </w:p>
        </w:tc>
        <w:tc>
          <w:tcPr>
            <w:tcW w:w="642"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397.60</w:t>
            </w:r>
          </w:p>
        </w:tc>
        <w:tc>
          <w:tcPr>
            <w:tcW w:w="644"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166.60</w:t>
            </w:r>
          </w:p>
        </w:tc>
        <w:tc>
          <w:tcPr>
            <w:tcW w:w="78" w:type="pct"/>
            <w:tcBorders>
              <w:top w:val="single" w:color="FFFFFF" w:sz="4" w:space="0"/>
              <w:left w:val="nil"/>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7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2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66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1607"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行政运行</w:t>
            </w:r>
          </w:p>
        </w:tc>
        <w:tc>
          <w:tcPr>
            <w:tcW w:w="64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252.16</w:t>
            </w:r>
          </w:p>
        </w:tc>
        <w:tc>
          <w:tcPr>
            <w:tcW w:w="64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252.16</w:t>
            </w:r>
          </w:p>
        </w:tc>
        <w:tc>
          <w:tcPr>
            <w:tcW w:w="644"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78"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7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2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66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1607"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一般行政管理事务</w:t>
            </w:r>
          </w:p>
        </w:tc>
        <w:tc>
          <w:tcPr>
            <w:tcW w:w="64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166.60</w:t>
            </w:r>
          </w:p>
        </w:tc>
        <w:tc>
          <w:tcPr>
            <w:tcW w:w="64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644"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166.60</w:t>
            </w:r>
          </w:p>
        </w:tc>
        <w:tc>
          <w:tcPr>
            <w:tcW w:w="78"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7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2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66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1607"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事业运行</w:t>
            </w:r>
          </w:p>
        </w:tc>
        <w:tc>
          <w:tcPr>
            <w:tcW w:w="64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57.27</w:t>
            </w:r>
          </w:p>
        </w:tc>
        <w:tc>
          <w:tcPr>
            <w:tcW w:w="64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57.27</w:t>
            </w:r>
          </w:p>
        </w:tc>
        <w:tc>
          <w:tcPr>
            <w:tcW w:w="644"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78"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7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2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22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66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1607"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机关事业单位基本养老保险缴费支出</w:t>
            </w:r>
          </w:p>
        </w:tc>
        <w:tc>
          <w:tcPr>
            <w:tcW w:w="64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39.02</w:t>
            </w:r>
          </w:p>
        </w:tc>
        <w:tc>
          <w:tcPr>
            <w:tcW w:w="64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39.02</w:t>
            </w:r>
          </w:p>
        </w:tc>
        <w:tc>
          <w:tcPr>
            <w:tcW w:w="644"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78"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7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2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22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66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1607"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其他社会保障和就业支出</w:t>
            </w:r>
          </w:p>
        </w:tc>
        <w:tc>
          <w:tcPr>
            <w:tcW w:w="64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w:t>
            </w:r>
          </w:p>
        </w:tc>
        <w:tc>
          <w:tcPr>
            <w:tcW w:w="64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w:t>
            </w:r>
          </w:p>
        </w:tc>
        <w:tc>
          <w:tcPr>
            <w:tcW w:w="644"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78"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7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2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66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1607"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行政单位医疗</w:t>
            </w:r>
          </w:p>
        </w:tc>
        <w:tc>
          <w:tcPr>
            <w:tcW w:w="64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10.14</w:t>
            </w:r>
          </w:p>
        </w:tc>
        <w:tc>
          <w:tcPr>
            <w:tcW w:w="64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10.14</w:t>
            </w:r>
          </w:p>
        </w:tc>
        <w:tc>
          <w:tcPr>
            <w:tcW w:w="644"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78"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7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2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66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1607"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事业单位医疗</w:t>
            </w:r>
          </w:p>
        </w:tc>
        <w:tc>
          <w:tcPr>
            <w:tcW w:w="64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64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644"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78"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7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2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66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1607"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公务员医疗补助</w:t>
            </w:r>
          </w:p>
        </w:tc>
        <w:tc>
          <w:tcPr>
            <w:tcW w:w="64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w:t>
            </w:r>
          </w:p>
        </w:tc>
        <w:tc>
          <w:tcPr>
            <w:tcW w:w="64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w:t>
            </w:r>
          </w:p>
        </w:tc>
        <w:tc>
          <w:tcPr>
            <w:tcW w:w="644"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78"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7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2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22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66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1607"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住房公积金</w:t>
            </w:r>
          </w:p>
        </w:tc>
        <w:tc>
          <w:tcPr>
            <w:tcW w:w="64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32.43</w:t>
            </w:r>
          </w:p>
        </w:tc>
        <w:tc>
          <w:tcPr>
            <w:tcW w:w="64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32.43</w:t>
            </w:r>
          </w:p>
        </w:tc>
        <w:tc>
          <w:tcPr>
            <w:tcW w:w="644"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78"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bl>
    <w:p/>
    <w:p>
      <w:pPr>
        <w:sectPr>
          <w:pgSz w:w="16838" w:h="11906" w:orient="landscape"/>
          <w:pgMar w:top="1588" w:right="1440" w:bottom="1588" w:left="1440" w:header="851" w:footer="992" w:gutter="0"/>
          <w:pgNumType w:fmt="numberInDash"/>
          <w:cols w:space="425" w:num="1"/>
          <w:docGrid w:type="lines" w:linePitch="312" w:charSpace="0"/>
        </w:sect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2"/>
        <w:gridCol w:w="2041"/>
        <w:gridCol w:w="1473"/>
        <w:gridCol w:w="1762"/>
        <w:gridCol w:w="1638"/>
        <w:gridCol w:w="1600"/>
        <w:gridCol w:w="2036"/>
        <w:gridCol w:w="2472"/>
        <w:gridCol w:w="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4" w:type="pct"/>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9" w:type="pct"/>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519" w:type="pct"/>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21" w:type="pct"/>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7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6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71" w:type="pct"/>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br w:type="textWrapping"/>
            </w:r>
            <w:r>
              <w:rPr>
                <w:rFonts w:ascii="宋体" w:hAnsi="宋体" w:eastAsia="宋体" w:cs="宋体"/>
                <w:i w:val="0"/>
                <w:iCs w:val="0"/>
                <w:color w:val="000000"/>
                <w:kern w:val="0"/>
                <w:sz w:val="22"/>
                <w:szCs w:val="22"/>
                <w:u w:val="none"/>
                <w:lang w:val="en-US" w:eastAsia="zh-CN" w:bidi="ar"/>
              </w:rPr>
              <w:t>表2</w:t>
            </w:r>
          </w:p>
        </w:tc>
        <w:tc>
          <w:tcPr>
            <w:tcW w:w="282" w:type="pct"/>
            <w:tcBorders>
              <w:top w:val="single" w:color="FFFFFF" w:sz="4" w:space="0"/>
              <w:left w:val="nil"/>
              <w:bottom w:val="single" w:color="FFFFFF"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8" w:hRule="atLeast"/>
        </w:trPr>
        <w:tc>
          <w:tcPr>
            <w:tcW w:w="124" w:type="pct"/>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4593" w:type="pct"/>
            <w:gridSpan w:val="7"/>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财政拨款收支预算总表</w:t>
            </w: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24" w:type="pct"/>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239" w:type="pct"/>
            <w:gridSpan w:val="2"/>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w:t>
            </w:r>
          </w:p>
        </w:tc>
        <w:tc>
          <w:tcPr>
            <w:tcW w:w="62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6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71" w:type="pct"/>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24" w:type="pct"/>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239" w:type="pct"/>
            <w:gridSpan w:val="2"/>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    入</w:t>
            </w:r>
          </w:p>
        </w:tc>
        <w:tc>
          <w:tcPr>
            <w:tcW w:w="3354" w:type="pct"/>
            <w:gridSpan w:val="5"/>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    出</w:t>
            </w: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24" w:type="pct"/>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519"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c>
          <w:tcPr>
            <w:tcW w:w="621"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577"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564"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w:t>
            </w:r>
          </w:p>
        </w:tc>
        <w:tc>
          <w:tcPr>
            <w:tcW w:w="718"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政府性基金预算</w:t>
            </w:r>
          </w:p>
        </w:tc>
        <w:tc>
          <w:tcPr>
            <w:tcW w:w="871"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国有资本经营预算</w:t>
            </w: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一、本年收入</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564.20</w:t>
            </w:r>
          </w:p>
        </w:tc>
        <w:tc>
          <w:tcPr>
            <w:tcW w:w="62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一、本年支出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564.20</w:t>
            </w: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564.20</w:t>
            </w: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restart"/>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一般公共预算拨款收入</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564.20</w:t>
            </w: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一般公共服务支出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476.03</w:t>
            </w: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476.03</w:t>
            </w: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政府性基金预算拨款收入</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外交支出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国有资本经营预算拨款收入</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国防支出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二、上年结转</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公共安全支出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restart"/>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一般公共预算拨款收入</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教育支出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政府性基金预算拨款收入</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科学技术支出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国有资本经营预算拨款收入</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文化旅游体育与传媒支出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社会保障和就业支出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39.71</w:t>
            </w: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39.71</w:t>
            </w: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社会保险基金支出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卫生健康支出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16.03</w:t>
            </w: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16.03</w:t>
            </w: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节能环保支出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城乡社区支出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农林水支出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交通运输支出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资源勘探工业信息等支出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商业服务业等支出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金融支出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援助其他地区支出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自然资源海洋气象等支出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住房保障支出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32.43</w:t>
            </w: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32.43</w:t>
            </w: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粮油物资储备支出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国有资本经营预算支出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灾害防治及应急管理支出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债务还本支出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债务付息支出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债务发行费用支出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vMerge w:val="continue"/>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51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抗疫特别国债安排的支出</w:t>
            </w:r>
          </w:p>
        </w:tc>
        <w:tc>
          <w:tcPr>
            <w:tcW w:w="5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2" w:type="pct"/>
            <w:tcBorders>
              <w:top w:val="single" w:color="FFFFFF" w:sz="4" w:space="0"/>
              <w:left w:val="nil"/>
              <w:bottom w:val="single" w:color="FFFFFF"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r>
    </w:tbl>
    <w:p/>
    <w:p/>
    <w:p>
      <w:pPr>
        <w:sectPr>
          <w:pgSz w:w="16838" w:h="11906" w:orient="landscape"/>
          <w:pgMar w:top="1587" w:right="1440" w:bottom="1587" w:left="1440" w:header="851" w:footer="992" w:gutter="0"/>
          <w:pgNumType w:fmt="numberInDash"/>
          <w:cols w:space="0" w:num="1"/>
          <w:rtlGutter w:val="0"/>
          <w:docGrid w:type="lines" w:linePitch="323" w:charSpace="0"/>
        </w:sectPr>
      </w:pPr>
    </w:p>
    <w:p>
      <w:pPr>
        <w:jc w:val="center"/>
        <w:rPr>
          <w:rFonts w:hint="eastAsia"/>
          <w:b/>
          <w:bCs/>
          <w:sz w:val="28"/>
          <w:szCs w:val="36"/>
          <w:lang w:val="en-US" w:eastAsia="zh-CN"/>
        </w:rPr>
      </w:pPr>
      <w:r>
        <w:rPr>
          <w:rFonts w:hint="eastAsia"/>
          <w:b/>
          <w:bCs/>
          <w:sz w:val="28"/>
          <w:szCs w:val="36"/>
        </w:rPr>
        <w:t>财政拨款支出预算表（部门经济分类科目）</w:t>
      </w:r>
      <w:r>
        <w:rPr>
          <w:rFonts w:hint="eastAsia"/>
          <w:b/>
          <w:bCs/>
          <w:sz w:val="28"/>
          <w:szCs w:val="36"/>
          <w:lang w:val="en-US" w:eastAsia="zh-CN"/>
        </w:rPr>
        <w:t xml:space="preserve">                 </w:t>
      </w:r>
    </w:p>
    <w:p>
      <w:pPr>
        <w:jc w:val="center"/>
        <w:rPr>
          <w:rFonts w:hint="default"/>
          <w:b/>
          <w:bCs/>
          <w:sz w:val="28"/>
          <w:szCs w:val="36"/>
          <w:lang w:val="en-US" w:eastAsia="zh-CN"/>
        </w:rPr>
      </w:pPr>
      <w:r>
        <w:rPr>
          <w:rFonts w:hint="eastAsia"/>
          <w:b/>
          <w:bCs/>
          <w:sz w:val="28"/>
          <w:szCs w:val="36"/>
          <w:lang w:val="en-US" w:eastAsia="zh-CN"/>
        </w:rPr>
        <w:t xml:space="preserve">                                          金额单位：万元</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5"/>
        <w:gridCol w:w="509"/>
        <w:gridCol w:w="1055"/>
        <w:gridCol w:w="1678"/>
        <w:gridCol w:w="1133"/>
        <w:gridCol w:w="1012"/>
        <w:gridCol w:w="1163"/>
        <w:gridCol w:w="950"/>
        <w:gridCol w:w="887"/>
        <w:gridCol w:w="788"/>
        <w:gridCol w:w="631"/>
        <w:gridCol w:w="1057"/>
        <w:gridCol w:w="635"/>
        <w:gridCol w:w="1055"/>
        <w:gridCol w:w="1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339" w:type="pct"/>
            <w:gridSpan w:val="4"/>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399" w:type="pct"/>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3260" w:type="pct"/>
            <w:gridSpan w:val="10"/>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省级当年财政拨款安排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375" w:type="pct"/>
            <w:gridSpan w:val="2"/>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372" w:type="pct"/>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单位代码</w:t>
            </w:r>
          </w:p>
        </w:tc>
        <w:tc>
          <w:tcPr>
            <w:tcW w:w="591" w:type="pct"/>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单位名称（科目）</w:t>
            </w:r>
          </w:p>
        </w:tc>
        <w:tc>
          <w:tcPr>
            <w:tcW w:w="399" w:type="pct"/>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356" w:type="pct"/>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058" w:type="pct"/>
            <w:gridSpan w:val="3"/>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一般公共预算拨款</w:t>
            </w:r>
          </w:p>
        </w:tc>
        <w:tc>
          <w:tcPr>
            <w:tcW w:w="873" w:type="pct"/>
            <w:gridSpan w:val="3"/>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政府性基金安排</w:t>
            </w:r>
          </w:p>
        </w:tc>
        <w:tc>
          <w:tcPr>
            <w:tcW w:w="972" w:type="pct"/>
            <w:gridSpan w:val="3"/>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国有资本经营预算安排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95"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179"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372" w:type="pct"/>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591" w:type="pct"/>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399" w:type="pct"/>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356" w:type="pct"/>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410"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335"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312"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c>
          <w:tcPr>
            <w:tcW w:w="277"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222"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372"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c>
          <w:tcPr>
            <w:tcW w:w="224"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372"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376"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7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59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564.20</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564.20</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564.20</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397.60</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166.60</w:t>
            </w: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564.20</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564.20</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564.20</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397.60</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166.60</w:t>
            </w: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资阳市雁江区商务局</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564.20</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564.20</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564.20</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397.60</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166.60</w:t>
            </w: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工资福利支出</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348.84</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348.84</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348.84</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332.04</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16.80</w:t>
            </w: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基本工资</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98.01</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98.01</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98.01</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98.01</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津贴补贴</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51.41</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51.41</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51.41</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51.41</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奖金</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79.02</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79.02</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79.02</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79.02</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绩效工资</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15.43</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15.43</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15.43</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15.43</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机关事业单位基本养老保险缴费</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39.02</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39.02</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39.02</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39.02</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职工基本医疗保险缴费</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12.85</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12.85</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12.85</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12.85</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公务员医疗补助缴费</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其他社会保障缴费</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住房公积金</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32.43</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32.43</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32.43</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32.43</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其他工资福利支出</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16.80</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16.80</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16.80</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16.80</w:t>
            </w: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商品和服务支出</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114.93</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114.93</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114.93</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65.53</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49.40</w:t>
            </w: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办公费</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印刷费</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水费</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电费</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邮电费</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差旅费</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会议费</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培训费</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公务接待费</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工会经费</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福利费</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公务用车运行维护费</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其他交通费用</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13.86</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13.86</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13.86</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13.86</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其他商品和服务支出</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44.60</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44.60</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44.60</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对个人和家庭的补助</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奖励金</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对企业补助</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100.40</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100.40</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100.40</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100.40</w:t>
            </w: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95"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179"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59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其他对企业补助</w:t>
            </w:r>
          </w:p>
        </w:tc>
        <w:tc>
          <w:tcPr>
            <w:tcW w:w="399"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100.40</w:t>
            </w:r>
          </w:p>
        </w:tc>
        <w:tc>
          <w:tcPr>
            <w:tcW w:w="35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100.40</w:t>
            </w:r>
          </w:p>
        </w:tc>
        <w:tc>
          <w:tcPr>
            <w:tcW w:w="41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100.40</w:t>
            </w:r>
          </w:p>
        </w:tc>
        <w:tc>
          <w:tcPr>
            <w:tcW w:w="33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100.40</w:t>
            </w:r>
          </w:p>
        </w:tc>
        <w:tc>
          <w:tcPr>
            <w:tcW w:w="277"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6"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
    <w:p/>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4"/>
        <w:gridCol w:w="464"/>
        <w:gridCol w:w="713"/>
        <w:gridCol w:w="713"/>
        <w:gridCol w:w="464"/>
        <w:gridCol w:w="713"/>
        <w:gridCol w:w="713"/>
        <w:gridCol w:w="465"/>
        <w:gridCol w:w="714"/>
        <w:gridCol w:w="714"/>
        <w:gridCol w:w="465"/>
        <w:gridCol w:w="465"/>
        <w:gridCol w:w="714"/>
        <w:gridCol w:w="714"/>
        <w:gridCol w:w="465"/>
        <w:gridCol w:w="714"/>
        <w:gridCol w:w="714"/>
        <w:gridCol w:w="465"/>
        <w:gridCol w:w="714"/>
        <w:gridCol w:w="714"/>
        <w:gridCol w:w="465"/>
        <w:gridCol w:w="714"/>
        <w:gridCol w:w="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2164" w:type="pct"/>
            <w:gridSpan w:val="10"/>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中央提前通知专项转移支付等</w:t>
            </w:r>
          </w:p>
        </w:tc>
        <w:tc>
          <w:tcPr>
            <w:tcW w:w="2835" w:type="pct"/>
            <w:gridSpan w:val="13"/>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上年结转安排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63" w:type="pct"/>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666" w:type="pct"/>
            <w:gridSpan w:val="3"/>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一般公共预算拨款</w:t>
            </w:r>
          </w:p>
        </w:tc>
        <w:tc>
          <w:tcPr>
            <w:tcW w:w="666" w:type="pct"/>
            <w:gridSpan w:val="3"/>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政府性基金安排</w:t>
            </w:r>
          </w:p>
        </w:tc>
        <w:tc>
          <w:tcPr>
            <w:tcW w:w="667" w:type="pct"/>
            <w:gridSpan w:val="3"/>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国有资本经营预算安排</w:t>
            </w:r>
          </w:p>
        </w:tc>
        <w:tc>
          <w:tcPr>
            <w:tcW w:w="164" w:type="pct"/>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667" w:type="pct"/>
            <w:gridSpan w:val="3"/>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一般公共预算拨款</w:t>
            </w:r>
          </w:p>
        </w:tc>
        <w:tc>
          <w:tcPr>
            <w:tcW w:w="667" w:type="pct"/>
            <w:gridSpan w:val="3"/>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政府性基金安排</w:t>
            </w:r>
          </w:p>
        </w:tc>
        <w:tc>
          <w:tcPr>
            <w:tcW w:w="667" w:type="pct"/>
            <w:gridSpan w:val="3"/>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国有资本经营预算安排</w:t>
            </w:r>
          </w:p>
        </w:tc>
        <w:tc>
          <w:tcPr>
            <w:tcW w:w="667" w:type="pct"/>
            <w:gridSpan w:val="3"/>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上年应返还额度结转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63" w:type="pct"/>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63"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251"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251"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c>
          <w:tcPr>
            <w:tcW w:w="163"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251"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251"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c>
          <w:tcPr>
            <w:tcW w:w="164"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251"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251"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c>
          <w:tcPr>
            <w:tcW w:w="164" w:type="pct"/>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64"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251"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251"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c>
          <w:tcPr>
            <w:tcW w:w="164"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251"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251"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c>
          <w:tcPr>
            <w:tcW w:w="164"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251"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251"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c>
          <w:tcPr>
            <w:tcW w:w="164"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251"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251"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63"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63"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63"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63"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3"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3"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
    <w:p/>
    <w:p/>
    <w:p/>
    <w:p/>
    <w:p/>
    <w:p/>
    <w:p/>
    <w:p/>
    <w:p/>
    <w:p/>
    <w:p/>
    <w:p/>
    <w:tbl>
      <w:tblPr>
        <w:tblStyle w:val="4"/>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5"/>
        <w:gridCol w:w="638"/>
        <w:gridCol w:w="641"/>
        <w:gridCol w:w="1905"/>
        <w:gridCol w:w="4637"/>
        <w:gridCol w:w="1017"/>
        <w:gridCol w:w="2265"/>
        <w:gridCol w:w="2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2" w:type="pct"/>
            <w:gridSpan w:val="3"/>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7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3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959" w:type="pct"/>
            <w:gridSpan w:val="3"/>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000" w:type="pct"/>
            <w:gridSpan w:val="8"/>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一般公共预算支出预算表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3040" w:type="pct"/>
            <w:gridSpan w:val="5"/>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w:t>
            </w:r>
          </w:p>
        </w:tc>
        <w:tc>
          <w:tcPr>
            <w:tcW w:w="359" w:type="pct"/>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9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00" w:type="pct"/>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3040" w:type="pct"/>
            <w:gridSpan w:val="5"/>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359"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799" w:type="pct"/>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当年财政拨款安排</w:t>
            </w:r>
          </w:p>
        </w:tc>
        <w:tc>
          <w:tcPr>
            <w:tcW w:w="800" w:type="pct"/>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上年结转安排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732" w:type="pct"/>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672"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单位代码</w:t>
            </w:r>
          </w:p>
        </w:tc>
        <w:tc>
          <w:tcPr>
            <w:tcW w:w="1635"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单位名称（科目）</w:t>
            </w:r>
          </w:p>
        </w:tc>
        <w:tc>
          <w:tcPr>
            <w:tcW w:w="359"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799" w:type="pct"/>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800" w:type="pct"/>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281" w:type="pc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225" w:type="pc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225" w:type="pc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w:t>
            </w:r>
          </w:p>
        </w:tc>
        <w:tc>
          <w:tcPr>
            <w:tcW w:w="672"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635"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359"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799" w:type="pct"/>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800" w:type="pct"/>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8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25"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25"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672"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35"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359"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564.20</w:t>
            </w:r>
          </w:p>
        </w:tc>
        <w:tc>
          <w:tcPr>
            <w:tcW w:w="799"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564.20</w:t>
            </w:r>
          </w:p>
        </w:tc>
        <w:tc>
          <w:tcPr>
            <w:tcW w:w="800"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81"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25"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25"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67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1635"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359"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564.20</w:t>
            </w:r>
          </w:p>
        </w:tc>
        <w:tc>
          <w:tcPr>
            <w:tcW w:w="799"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564.20</w:t>
            </w:r>
          </w:p>
        </w:tc>
        <w:tc>
          <w:tcPr>
            <w:tcW w:w="800"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281"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25"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25"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67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1635"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资阳市雁江区商务局本级</w:t>
            </w:r>
          </w:p>
        </w:tc>
        <w:tc>
          <w:tcPr>
            <w:tcW w:w="359"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564.20</w:t>
            </w:r>
          </w:p>
        </w:tc>
        <w:tc>
          <w:tcPr>
            <w:tcW w:w="799"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564.20</w:t>
            </w:r>
          </w:p>
        </w:tc>
        <w:tc>
          <w:tcPr>
            <w:tcW w:w="800"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281"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25"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5"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67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635"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行政运行</w:t>
            </w:r>
          </w:p>
        </w:tc>
        <w:tc>
          <w:tcPr>
            <w:tcW w:w="359"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252.16</w:t>
            </w:r>
          </w:p>
        </w:tc>
        <w:tc>
          <w:tcPr>
            <w:tcW w:w="799"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252.16</w:t>
            </w:r>
          </w:p>
        </w:tc>
        <w:tc>
          <w:tcPr>
            <w:tcW w:w="800"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81"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25"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5"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67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635"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一般行政管理事务</w:t>
            </w:r>
          </w:p>
        </w:tc>
        <w:tc>
          <w:tcPr>
            <w:tcW w:w="359"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166.60</w:t>
            </w:r>
          </w:p>
        </w:tc>
        <w:tc>
          <w:tcPr>
            <w:tcW w:w="799"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166.60</w:t>
            </w:r>
          </w:p>
        </w:tc>
        <w:tc>
          <w:tcPr>
            <w:tcW w:w="800"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81"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25"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5"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67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635"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事业运行</w:t>
            </w:r>
          </w:p>
        </w:tc>
        <w:tc>
          <w:tcPr>
            <w:tcW w:w="359"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57.27</w:t>
            </w:r>
          </w:p>
        </w:tc>
        <w:tc>
          <w:tcPr>
            <w:tcW w:w="799"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57.27</w:t>
            </w:r>
          </w:p>
        </w:tc>
        <w:tc>
          <w:tcPr>
            <w:tcW w:w="800"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81"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25"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225"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67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635"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机关事业单位基本养老保险缴费支出</w:t>
            </w:r>
          </w:p>
        </w:tc>
        <w:tc>
          <w:tcPr>
            <w:tcW w:w="359"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39.02</w:t>
            </w:r>
          </w:p>
        </w:tc>
        <w:tc>
          <w:tcPr>
            <w:tcW w:w="799"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39.02</w:t>
            </w:r>
          </w:p>
        </w:tc>
        <w:tc>
          <w:tcPr>
            <w:tcW w:w="800"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81"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25"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225"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67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635"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其他社会保障和就业支出</w:t>
            </w:r>
          </w:p>
        </w:tc>
        <w:tc>
          <w:tcPr>
            <w:tcW w:w="359"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w:t>
            </w:r>
          </w:p>
        </w:tc>
        <w:tc>
          <w:tcPr>
            <w:tcW w:w="799"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w:t>
            </w:r>
          </w:p>
        </w:tc>
        <w:tc>
          <w:tcPr>
            <w:tcW w:w="800"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281"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25"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5"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67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635"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行政单位医疗</w:t>
            </w:r>
          </w:p>
        </w:tc>
        <w:tc>
          <w:tcPr>
            <w:tcW w:w="359"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10.14</w:t>
            </w:r>
          </w:p>
        </w:tc>
        <w:tc>
          <w:tcPr>
            <w:tcW w:w="799"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10.14</w:t>
            </w:r>
          </w:p>
        </w:tc>
        <w:tc>
          <w:tcPr>
            <w:tcW w:w="800"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81"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25"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5"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67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635"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事业单位医疗</w:t>
            </w:r>
          </w:p>
        </w:tc>
        <w:tc>
          <w:tcPr>
            <w:tcW w:w="359"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799"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800"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81"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25"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5"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67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635"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公务员医疗补助</w:t>
            </w:r>
          </w:p>
        </w:tc>
        <w:tc>
          <w:tcPr>
            <w:tcW w:w="359"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w:t>
            </w:r>
          </w:p>
        </w:tc>
        <w:tc>
          <w:tcPr>
            <w:tcW w:w="799"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w:t>
            </w:r>
          </w:p>
        </w:tc>
        <w:tc>
          <w:tcPr>
            <w:tcW w:w="800"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81"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25"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225"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672"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635"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住房公积金</w:t>
            </w:r>
          </w:p>
        </w:tc>
        <w:tc>
          <w:tcPr>
            <w:tcW w:w="359"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32.43</w:t>
            </w:r>
          </w:p>
        </w:tc>
        <w:tc>
          <w:tcPr>
            <w:tcW w:w="799"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32.43</w:t>
            </w:r>
          </w:p>
        </w:tc>
        <w:tc>
          <w:tcPr>
            <w:tcW w:w="800"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bl>
    <w:p/>
    <w:p>
      <w:pPr>
        <w:sectPr>
          <w:pgSz w:w="16838" w:h="11906" w:orient="landscape"/>
          <w:pgMar w:top="1587" w:right="1440" w:bottom="1587" w:left="1440" w:header="851" w:footer="992" w:gutter="0"/>
          <w:pgNumType w:fmt="numberInDash"/>
          <w:cols w:space="0" w:num="1"/>
          <w:rtlGutter w:val="0"/>
          <w:docGrid w:type="lines" w:linePitch="323" w:charSpace="0"/>
        </w:sectPr>
      </w:pPr>
    </w:p>
    <w:tbl>
      <w:tblPr>
        <w:tblStyle w:val="4"/>
        <w:tblW w:w="6141" w:type="pct"/>
        <w:tblInd w:w="-106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74"/>
        <w:gridCol w:w="626"/>
        <w:gridCol w:w="540"/>
        <w:gridCol w:w="1100"/>
        <w:gridCol w:w="2673"/>
        <w:gridCol w:w="965"/>
        <w:gridCol w:w="1101"/>
        <w:gridCol w:w="2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586" w:type="pct"/>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500" w:type="pct"/>
            <w:gridSpan w:val="2"/>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500"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21"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5" w:type="pct"/>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501" w:type="pct"/>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45" w:type="pct"/>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表3-1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413" w:type="pct"/>
            <w:gridSpan w:val="7"/>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一般公共预算基本支出预算表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586" w:type="pct"/>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222" w:type="pct"/>
            <w:gridSpan w:val="4"/>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w:t>
            </w:r>
          </w:p>
        </w:tc>
        <w:tc>
          <w:tcPr>
            <w:tcW w:w="44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01" w:type="pct"/>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245" w:type="pct"/>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586" w:type="pct"/>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222" w:type="pct"/>
            <w:gridSpan w:val="4"/>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2191" w:type="pct"/>
            <w:gridSpan w:val="3"/>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586" w:type="pct"/>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500" w:type="pct"/>
            <w:gridSpan w:val="2"/>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500" w:type="pct"/>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单位代码</w:t>
            </w:r>
          </w:p>
        </w:tc>
        <w:tc>
          <w:tcPr>
            <w:tcW w:w="1221" w:type="pct"/>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单位名称（科目）</w:t>
            </w:r>
          </w:p>
        </w:tc>
        <w:tc>
          <w:tcPr>
            <w:tcW w:w="445" w:type="pct"/>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501" w:type="pct"/>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1245" w:type="pct"/>
            <w:vMerge w:val="restar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58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48"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251" w:type="pct"/>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500" w:type="pct"/>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221" w:type="pct"/>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445" w:type="pct"/>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501" w:type="pct"/>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245" w:type="pct"/>
            <w:vMerge w:val="continue"/>
            <w:tcBorders>
              <w:top w:val="single" w:color="C0C0C0" w:sz="4" w:space="0"/>
              <w:left w:val="single" w:color="C0C0C0" w:sz="4" w:space="0"/>
              <w:bottom w:val="single" w:color="C0C0C0" w:sz="4" w:space="0"/>
              <w:right w:val="single" w:color="C0C0C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2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397.60</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332.07</w:t>
            </w: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397.60</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332.07</w:t>
            </w: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资阳市雁江区商务局</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397.60</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332.07</w:t>
            </w: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工资福利支出</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332.04</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332.04</w:t>
            </w: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01</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基本工资</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98.01</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98.01</w:t>
            </w: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02</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津贴补贴</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51.41</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51.41</w:t>
            </w: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03</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奖金</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79.02</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79.02</w:t>
            </w: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07</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绩效工资</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15.43</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15.43</w:t>
            </w: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08</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机关事业单位基本养老保险缴费</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39.02</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39.02</w:t>
            </w: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10</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职工基本医疗保险缴费</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12.85</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12.85</w:t>
            </w: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11</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公务员医疗补助缴费</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12</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其他社会保障缴费</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w:t>
            </w: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301</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13</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住房公积金</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32.43</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32.43</w:t>
            </w: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商品和服务支出</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65.53</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01</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办公费</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02</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印刷费</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05</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水费</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06</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电费</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07</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邮电费</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11</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差旅费</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15</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会议费</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16</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培训费</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17</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公务接待费</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28</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工会经费</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29</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福利费</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31</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公务用车运行维护费</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39</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其他交通费用</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13.86</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302</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99</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其他商品和服务支出</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对个人和家庭的补助</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86" w:type="pct"/>
            <w:tcBorders>
              <w:top w:val="single" w:color="FFFFFF" w:sz="4" w:space="0"/>
              <w:left w:val="single" w:color="FFFFFF" w:sz="4" w:space="0"/>
              <w:bottom w:val="single" w:color="FFFFFF"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48"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303</w:t>
            </w:r>
          </w:p>
        </w:tc>
        <w:tc>
          <w:tcPr>
            <w:tcW w:w="25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09</w:t>
            </w:r>
          </w:p>
        </w:tc>
        <w:tc>
          <w:tcPr>
            <w:tcW w:w="500"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221" w:type="pc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奖励金</w:t>
            </w:r>
          </w:p>
        </w:tc>
        <w:tc>
          <w:tcPr>
            <w:tcW w:w="4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501"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1245" w:type="pct"/>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
    <w:p/>
    <w:p/>
    <w:p/>
    <w:p/>
    <w:p/>
    <w:p/>
    <w:p/>
    <w:p/>
    <w:p>
      <w:pPr>
        <w:sectPr>
          <w:pgSz w:w="11906" w:h="16838"/>
          <w:pgMar w:top="1440" w:right="1587" w:bottom="1440" w:left="1587" w:header="851" w:footer="992" w:gutter="0"/>
          <w:pgNumType w:fmt="numberInDash"/>
          <w:cols w:space="0" w:num="1"/>
          <w:rtlGutter w:val="0"/>
          <w:docGrid w:type="lines" w:linePitch="323" w:charSpace="0"/>
        </w:sectPr>
      </w:pPr>
    </w:p>
    <w:tbl>
      <w:tblPr>
        <w:tblStyle w:val="4"/>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2"/>
        <w:gridCol w:w="898"/>
        <w:gridCol w:w="898"/>
        <w:gridCol w:w="2126"/>
        <w:gridCol w:w="6521"/>
        <w:gridCol w:w="2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0" w:type="pct"/>
            <w:gridSpan w:val="3"/>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5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0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18" w:type="pct"/>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000" w:type="pct"/>
            <w:gridSpan w:val="6"/>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一般公共预算项目支出预算表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4081" w:type="pct"/>
            <w:gridSpan w:val="5"/>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w:t>
            </w:r>
          </w:p>
        </w:tc>
        <w:tc>
          <w:tcPr>
            <w:tcW w:w="918" w:type="pct"/>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030" w:type="pct"/>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750"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单位代码</w:t>
            </w:r>
          </w:p>
        </w:tc>
        <w:tc>
          <w:tcPr>
            <w:tcW w:w="2300"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单位名称（科目）</w:t>
            </w:r>
          </w:p>
        </w:tc>
        <w:tc>
          <w:tcPr>
            <w:tcW w:w="918"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396" w:type="pc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317" w:type="pc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317" w:type="pc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w:t>
            </w:r>
          </w:p>
        </w:tc>
        <w:tc>
          <w:tcPr>
            <w:tcW w:w="750"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2300"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918"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39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317"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317"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50"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300"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91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396"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17"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317"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750"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300"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91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396"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17"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17"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750"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300"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资阳市雁江区商务局</w:t>
            </w:r>
          </w:p>
        </w:tc>
        <w:tc>
          <w:tcPr>
            <w:tcW w:w="91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396"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17"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17"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750"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300"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一般行政管理事务</w:t>
            </w:r>
          </w:p>
        </w:tc>
        <w:tc>
          <w:tcPr>
            <w:tcW w:w="91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396"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17"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17"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750"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2300"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服务业发展引导资金</w:t>
            </w:r>
          </w:p>
        </w:tc>
        <w:tc>
          <w:tcPr>
            <w:tcW w:w="91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396"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17"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17"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750"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2300"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商贸事务运行相关工作经费</w:t>
            </w:r>
          </w:p>
        </w:tc>
        <w:tc>
          <w:tcPr>
            <w:tcW w:w="91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396"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17"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17"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750"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2300"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ascii="Dialog . plain" w:hAnsi="Dialog . plain" w:eastAsia="Dialog . plain" w:cs="Dialog . plain"/>
                <w:i w:val="0"/>
                <w:iCs w:val="0"/>
                <w:color w:val="000000"/>
                <w:kern w:val="0"/>
                <w:sz w:val="22"/>
                <w:szCs w:val="22"/>
                <w:u w:val="none"/>
                <w:lang w:val="en-US" w:eastAsia="zh-CN" w:bidi="ar"/>
              </w:rPr>
            </w:pPr>
          </w:p>
        </w:tc>
        <w:tc>
          <w:tcPr>
            <w:tcW w:w="91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bl>
    <w:p/>
    <w:p/>
    <w:p/>
    <w:p/>
    <w:p/>
    <w:p/>
    <w:p/>
    <w:p/>
    <w:p/>
    <w:p/>
    <w:p/>
    <w:tbl>
      <w:tblPr>
        <w:tblStyle w:val="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00"/>
        <w:gridCol w:w="3660"/>
        <w:gridCol w:w="1375"/>
        <w:gridCol w:w="1375"/>
        <w:gridCol w:w="1376"/>
        <w:gridCol w:w="1763"/>
        <w:gridCol w:w="1763"/>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8" w:type="pct"/>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36"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36"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36"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36"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36"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36" w:type="pct"/>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5000" w:type="pct"/>
            <w:gridSpan w:val="8"/>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一般公共预算“三公”经费支出预算表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781" w:type="pct"/>
            <w:gridSpan w:val="2"/>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w:t>
            </w:r>
          </w:p>
        </w:tc>
        <w:tc>
          <w:tcPr>
            <w:tcW w:w="536" w:type="pct"/>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6" w:type="pct"/>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6" w:type="pct"/>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6" w:type="pct"/>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6" w:type="pct"/>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6" w:type="pct"/>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438"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单位编码</w:t>
            </w:r>
          </w:p>
        </w:tc>
        <w:tc>
          <w:tcPr>
            <w:tcW w:w="1343"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单位名称（科目）</w:t>
            </w:r>
          </w:p>
        </w:tc>
        <w:tc>
          <w:tcPr>
            <w:tcW w:w="3218" w:type="pct"/>
            <w:gridSpan w:val="6"/>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当年财政拨款预算安排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438"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343"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536"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536" w:type="pct"/>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因公出国（境）费用</w:t>
            </w:r>
          </w:p>
        </w:tc>
        <w:tc>
          <w:tcPr>
            <w:tcW w:w="1609" w:type="pct"/>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公务用车购置及运行费</w:t>
            </w:r>
          </w:p>
        </w:tc>
        <w:tc>
          <w:tcPr>
            <w:tcW w:w="536"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8" w:hRule="atLeast"/>
        </w:trPr>
        <w:tc>
          <w:tcPr>
            <w:tcW w:w="438"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343"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536"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536" w:type="pct"/>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536" w:type="pc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536" w:type="pc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公务用车购置费</w:t>
            </w:r>
          </w:p>
        </w:tc>
        <w:tc>
          <w:tcPr>
            <w:tcW w:w="536" w:type="pc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公务用车运行费</w:t>
            </w:r>
          </w:p>
        </w:tc>
        <w:tc>
          <w:tcPr>
            <w:tcW w:w="536"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43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343"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6.40</w:t>
            </w: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3.00</w:t>
            </w: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3.00</w:t>
            </w: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43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1343"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6.40</w:t>
            </w: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43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1343"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资阳市雁江区商务局</w:t>
            </w:r>
          </w:p>
        </w:tc>
        <w:tc>
          <w:tcPr>
            <w:tcW w:w="536"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6.40</w:t>
            </w:r>
          </w:p>
        </w:tc>
        <w:tc>
          <w:tcPr>
            <w:tcW w:w="536"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536"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536"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536"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536"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r>
    </w:tbl>
    <w:p/>
    <w:p/>
    <w:p/>
    <w:p/>
    <w:p/>
    <w:p/>
    <w:p/>
    <w:p/>
    <w:p/>
    <w:p/>
    <w:p/>
    <w:p/>
    <w:p/>
    <w:p/>
    <w:p/>
    <w:tbl>
      <w:tblPr>
        <w:tblStyle w:val="4"/>
        <w:tblW w:w="146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5"/>
        <w:gridCol w:w="735"/>
        <w:gridCol w:w="735"/>
        <w:gridCol w:w="1605"/>
        <w:gridCol w:w="4920"/>
        <w:gridCol w:w="1965"/>
        <w:gridCol w:w="196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205" w:type="dxa"/>
            <w:gridSpan w:val="3"/>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6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9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96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6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65" w:type="dxa"/>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gridSpan w:val="8"/>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 xml:space="preserve">政府性基金预算支出预算表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gridSpan w:val="5"/>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w:t>
            </w: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0" w:type="auto"/>
            <w:gridSpan w:val="5"/>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单位代码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单位名称（科目）</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492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492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492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bl>
    <w:p>
      <w:pPr>
        <w:rPr>
          <w:rFonts w:hint="default" w:eastAsia="宋体"/>
          <w:lang w:val="en-US" w:eastAsia="zh-CN"/>
        </w:rPr>
      </w:pPr>
      <w:r>
        <w:rPr>
          <w:rFonts w:hint="eastAsia"/>
          <w:lang w:val="en-US" w:eastAsia="zh-CN"/>
        </w:rPr>
        <w:t>备注：此表无数据</w:t>
      </w:r>
    </w:p>
    <w:p/>
    <w:p/>
    <w:p/>
    <w:p/>
    <w:p/>
    <w:p/>
    <w:p/>
    <w:p/>
    <w:tbl>
      <w:tblPr>
        <w:tblStyle w:val="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00"/>
        <w:gridCol w:w="3660"/>
        <w:gridCol w:w="1375"/>
        <w:gridCol w:w="1375"/>
        <w:gridCol w:w="1376"/>
        <w:gridCol w:w="1763"/>
        <w:gridCol w:w="1763"/>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8" w:type="pct"/>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36"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 xml:space="preserve">  </w:t>
            </w:r>
          </w:p>
        </w:tc>
        <w:tc>
          <w:tcPr>
            <w:tcW w:w="536"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36"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36"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36"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36" w:type="pct"/>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5000" w:type="pct"/>
            <w:gridSpan w:val="8"/>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政府性基金预算“三公”经费支出预算表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1781" w:type="pct"/>
            <w:gridSpan w:val="2"/>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w:t>
            </w:r>
          </w:p>
        </w:tc>
        <w:tc>
          <w:tcPr>
            <w:tcW w:w="536" w:type="pct"/>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6" w:type="pct"/>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6" w:type="pct"/>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6" w:type="pct"/>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6" w:type="pct"/>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6" w:type="pct"/>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438"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单位编码</w:t>
            </w:r>
          </w:p>
        </w:tc>
        <w:tc>
          <w:tcPr>
            <w:tcW w:w="1343"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单位名称（科目）</w:t>
            </w:r>
          </w:p>
        </w:tc>
        <w:tc>
          <w:tcPr>
            <w:tcW w:w="3218" w:type="pct"/>
            <w:gridSpan w:val="6"/>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当年财政拨款预算安排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438"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343"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536"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536" w:type="pct"/>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因公出国（境）费用</w:t>
            </w:r>
          </w:p>
        </w:tc>
        <w:tc>
          <w:tcPr>
            <w:tcW w:w="1609" w:type="pct"/>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公务用车购置及运行费</w:t>
            </w:r>
          </w:p>
        </w:tc>
        <w:tc>
          <w:tcPr>
            <w:tcW w:w="536"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438"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343"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536"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536" w:type="pct"/>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536" w:type="pc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536" w:type="pc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公务用车购置费</w:t>
            </w:r>
          </w:p>
        </w:tc>
        <w:tc>
          <w:tcPr>
            <w:tcW w:w="536" w:type="pc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公务用车运行费</w:t>
            </w:r>
          </w:p>
        </w:tc>
        <w:tc>
          <w:tcPr>
            <w:tcW w:w="536"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43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343"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3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1343"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6"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43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1343"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ascii="Dialog . plain" w:hAnsi="Dialog . plain" w:eastAsia="Dialog . plain" w:cs="Dialog . plain"/>
                <w:i w:val="0"/>
                <w:iCs w:val="0"/>
                <w:color w:val="000000"/>
                <w:kern w:val="0"/>
                <w:sz w:val="22"/>
                <w:szCs w:val="22"/>
                <w:u w:val="none"/>
                <w:lang w:val="en-US" w:eastAsia="zh-CN" w:bidi="ar"/>
              </w:rPr>
              <w:t xml:space="preserve"> </w:t>
            </w:r>
          </w:p>
        </w:tc>
        <w:tc>
          <w:tcPr>
            <w:tcW w:w="536"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536"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536"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536"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536"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c>
          <w:tcPr>
            <w:tcW w:w="536"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bl>
    <w:p>
      <w:pPr>
        <w:rPr>
          <w:rFonts w:hint="default" w:eastAsia="宋体"/>
          <w:lang w:val="en-US" w:eastAsia="zh-CN"/>
        </w:rPr>
      </w:pPr>
      <w:r>
        <w:rPr>
          <w:rFonts w:hint="eastAsia"/>
          <w:lang w:val="en-US" w:eastAsia="zh-CN"/>
        </w:rPr>
        <w:t>备注：此表无数据</w:t>
      </w:r>
    </w:p>
    <w:p/>
    <w:p/>
    <w:p/>
    <w:p/>
    <w:p/>
    <w:p/>
    <w:p/>
    <w:p/>
    <w:p/>
    <w:p/>
    <w:p/>
    <w:p/>
    <w:tbl>
      <w:tblPr>
        <w:tblStyle w:val="4"/>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1"/>
        <w:gridCol w:w="711"/>
        <w:gridCol w:w="711"/>
        <w:gridCol w:w="1553"/>
        <w:gridCol w:w="4770"/>
        <w:gridCol w:w="1902"/>
        <w:gridCol w:w="1902"/>
        <w:gridCol w:w="1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53" w:type="pct"/>
            <w:gridSpan w:val="3"/>
            <w:tcBorders>
              <w:top w:val="single" w:color="FFFFFF" w:sz="4" w:space="0"/>
              <w:left w:val="single" w:color="FFFFFF" w:sz="4" w:space="0"/>
              <w:bottom w:val="single" w:color="FFFFFF" w:sz="4" w:space="0"/>
              <w:right w:val="single" w:color="FFFFFF"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54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8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71"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1"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1" w:type="pct"/>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5000" w:type="pct"/>
            <w:gridSpan w:val="8"/>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国有资本经营预算支出预算表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2984" w:type="pct"/>
            <w:gridSpan w:val="5"/>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w:t>
            </w:r>
          </w:p>
        </w:tc>
        <w:tc>
          <w:tcPr>
            <w:tcW w:w="671" w:type="pct"/>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71" w:type="pct"/>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671" w:type="pct"/>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2984" w:type="pct"/>
            <w:gridSpan w:val="5"/>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2015" w:type="pct"/>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753" w:type="pct"/>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548"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单位代码</w:t>
            </w:r>
          </w:p>
        </w:tc>
        <w:tc>
          <w:tcPr>
            <w:tcW w:w="1682"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单位名称（科目）</w:t>
            </w:r>
          </w:p>
        </w:tc>
        <w:tc>
          <w:tcPr>
            <w:tcW w:w="671"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671"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671" w:type="pct"/>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251" w:type="pc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251" w:type="pc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251" w:type="pc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w:t>
            </w:r>
          </w:p>
        </w:tc>
        <w:tc>
          <w:tcPr>
            <w:tcW w:w="548"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682"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671"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671"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671" w:type="pct"/>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5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5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5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548"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82"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67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7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7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51"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51"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51"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4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192001</w:t>
            </w:r>
          </w:p>
        </w:tc>
        <w:tc>
          <w:tcPr>
            <w:tcW w:w="1682"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7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51"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51"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251"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548" w:type="pct"/>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left"/>
              <w:rPr>
                <w:rFonts w:hint="eastAsia" w:ascii="宋体" w:hAnsi="宋体" w:eastAsia="宋体" w:cs="宋体"/>
                <w:i w:val="0"/>
                <w:iCs w:val="0"/>
                <w:color w:val="000000"/>
                <w:sz w:val="22"/>
                <w:szCs w:val="22"/>
                <w:u w:val="none"/>
              </w:rPr>
            </w:pPr>
          </w:p>
        </w:tc>
        <w:tc>
          <w:tcPr>
            <w:tcW w:w="1682" w:type="pct"/>
            <w:tcBorders>
              <w:top w:val="single" w:color="C2C3C4" w:sz="4" w:space="0"/>
              <w:left w:val="single" w:color="C2C3C4" w:sz="4" w:space="0"/>
              <w:bottom w:val="single" w:color="C2C3C4" w:sz="4" w:space="0"/>
              <w:right w:val="single" w:color="C2C3C4" w:sz="4" w:space="0"/>
            </w:tcBorders>
            <w:shd w:val="clear" w:color="FFFFFF" w:fill="FFFFFF"/>
            <w:vAlign w:val="center"/>
          </w:tcPr>
          <w:p>
            <w:pPr>
              <w:jc w:val="left"/>
              <w:rPr>
                <w:rFonts w:hint="eastAsia" w:ascii="宋体" w:hAnsi="宋体" w:eastAsia="宋体" w:cs="宋体"/>
                <w:i w:val="0"/>
                <w:iCs w:val="0"/>
                <w:color w:val="000000"/>
                <w:sz w:val="22"/>
                <w:szCs w:val="22"/>
                <w:u w:val="none"/>
              </w:rPr>
            </w:pPr>
          </w:p>
        </w:tc>
        <w:tc>
          <w:tcPr>
            <w:tcW w:w="67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1" w:type="pct"/>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rPr>
          <w:rFonts w:hint="default" w:eastAsia="宋体"/>
          <w:lang w:val="en-US" w:eastAsia="zh-CN"/>
        </w:rPr>
      </w:pPr>
      <w:r>
        <w:rPr>
          <w:rFonts w:hint="eastAsia"/>
          <w:lang w:val="en-US" w:eastAsia="zh-CN"/>
        </w:rPr>
        <w:t>备注：此表无数据</w:t>
      </w:r>
    </w:p>
    <w:p/>
    <w:p/>
    <w:p>
      <w:pPr>
        <w:sectPr>
          <w:pgSz w:w="16838" w:h="11906" w:orient="landscape"/>
          <w:pgMar w:top="1587" w:right="1440" w:bottom="1587" w:left="1440" w:header="851" w:footer="992" w:gutter="0"/>
          <w:pgNumType w:fmt="numberInDash"/>
          <w:cols w:space="0" w:num="1"/>
          <w:rtlGutter w:val="0"/>
          <w:docGrid w:type="lines" w:linePitch="323" w:charSpace="0"/>
        </w:sectPr>
      </w:pPr>
    </w:p>
    <w:tbl>
      <w:tblPr>
        <w:tblStyle w:val="4"/>
        <w:tblW w:w="500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2"/>
        <w:gridCol w:w="1618"/>
        <w:gridCol w:w="1020"/>
        <w:gridCol w:w="969"/>
        <w:gridCol w:w="895"/>
        <w:gridCol w:w="1176"/>
        <w:gridCol w:w="1176"/>
        <w:gridCol w:w="1485"/>
        <w:gridCol w:w="1177"/>
        <w:gridCol w:w="970"/>
        <w:gridCol w:w="1177"/>
        <w:gridCol w:w="761"/>
        <w:gridCol w:w="1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4" w:type="pct"/>
            <w:tcBorders>
              <w:top w:val="single" w:color="FFFFFF" w:sz="4" w:space="0"/>
              <w:left w:val="single" w:color="FFFFFF" w:sz="4" w:space="0"/>
              <w:bottom w:val="single" w:color="FFFFFF" w:sz="4" w:space="0"/>
              <w:right w:val="nil"/>
            </w:tcBorders>
            <w:shd w:val="clear" w:color="auto" w:fill="auto"/>
            <w:vAlign w:val="center"/>
          </w:tcPr>
          <w:p>
            <w:pPr>
              <w:rPr>
                <w:rFonts w:hint="eastAsia" w:ascii="Hiragino Sans GB" w:hAnsi="Hiragino Sans GB" w:eastAsia="Hiragino Sans GB" w:cs="Hiragino Sans GB"/>
                <w:i w:val="0"/>
                <w:iCs w:val="0"/>
                <w:color w:val="000000"/>
                <w:sz w:val="18"/>
                <w:szCs w:val="18"/>
                <w:u w:val="none"/>
              </w:rPr>
            </w:pPr>
          </w:p>
        </w:tc>
        <w:tc>
          <w:tcPr>
            <w:tcW w:w="57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5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41"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C0C0C0"/>
                <w:sz w:val="18"/>
                <w:szCs w:val="18"/>
                <w:u w:val="none"/>
              </w:rPr>
            </w:pPr>
          </w:p>
        </w:tc>
        <w:tc>
          <w:tcPr>
            <w:tcW w:w="315"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C0C0C0"/>
                <w:sz w:val="18"/>
                <w:szCs w:val="18"/>
                <w:u w:val="none"/>
              </w:rPr>
            </w:pPr>
          </w:p>
        </w:tc>
        <w:tc>
          <w:tcPr>
            <w:tcW w:w="414"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C0C0C0"/>
                <w:sz w:val="18"/>
                <w:szCs w:val="18"/>
                <w:u w:val="none"/>
              </w:rPr>
            </w:pPr>
          </w:p>
        </w:tc>
        <w:tc>
          <w:tcPr>
            <w:tcW w:w="414" w:type="pct"/>
            <w:tcBorders>
              <w:top w:val="nil"/>
              <w:left w:val="nil"/>
              <w:bottom w:val="nil"/>
              <w:right w:val="nil"/>
            </w:tcBorders>
            <w:shd w:val="clear" w:color="auto" w:fill="auto"/>
            <w:vAlign w:val="center"/>
          </w:tcPr>
          <w:p>
            <w:pPr>
              <w:rPr>
                <w:rFonts w:hint="eastAsia" w:ascii="宋体" w:hAnsi="宋体" w:eastAsia="宋体" w:cs="宋体"/>
                <w:i w:val="0"/>
                <w:iCs w:val="0"/>
                <w:color w:val="C0C0C0"/>
                <w:sz w:val="18"/>
                <w:szCs w:val="18"/>
                <w:u w:val="none"/>
              </w:rPr>
            </w:pPr>
          </w:p>
        </w:tc>
        <w:tc>
          <w:tcPr>
            <w:tcW w:w="523"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C0C0C0"/>
                <w:sz w:val="18"/>
                <w:szCs w:val="18"/>
                <w:u w:val="none"/>
              </w:rPr>
            </w:pPr>
          </w:p>
        </w:tc>
        <w:tc>
          <w:tcPr>
            <w:tcW w:w="415" w:type="pct"/>
            <w:tcBorders>
              <w:top w:val="nil"/>
              <w:left w:val="nil"/>
              <w:bottom w:val="nil"/>
              <w:right w:val="nil"/>
            </w:tcBorders>
            <w:shd w:val="clear" w:color="auto" w:fill="auto"/>
            <w:vAlign w:val="center"/>
          </w:tcPr>
          <w:p>
            <w:pPr>
              <w:rPr>
                <w:rFonts w:hint="eastAsia" w:ascii="宋体" w:hAnsi="宋体" w:eastAsia="宋体" w:cs="宋体"/>
                <w:i w:val="0"/>
                <w:iCs w:val="0"/>
                <w:color w:val="C0C0C0"/>
                <w:sz w:val="18"/>
                <w:szCs w:val="18"/>
                <w:u w:val="none"/>
              </w:rPr>
            </w:pPr>
          </w:p>
        </w:tc>
        <w:tc>
          <w:tcPr>
            <w:tcW w:w="342" w:type="pct"/>
            <w:tcBorders>
              <w:top w:val="nil"/>
              <w:left w:val="nil"/>
              <w:bottom w:val="nil"/>
              <w:right w:val="nil"/>
            </w:tcBorders>
            <w:shd w:val="clear" w:color="auto" w:fill="auto"/>
            <w:vAlign w:val="center"/>
          </w:tcPr>
          <w:p>
            <w:pPr>
              <w:rPr>
                <w:rFonts w:hint="eastAsia" w:ascii="宋体" w:hAnsi="宋体" w:eastAsia="宋体" w:cs="宋体"/>
                <w:i w:val="0"/>
                <w:iCs w:val="0"/>
                <w:color w:val="C0C0C0"/>
                <w:sz w:val="18"/>
                <w:szCs w:val="18"/>
                <w:u w:val="none"/>
              </w:rPr>
            </w:pPr>
          </w:p>
        </w:tc>
        <w:tc>
          <w:tcPr>
            <w:tcW w:w="415" w:type="pct"/>
            <w:tcBorders>
              <w:top w:val="nil"/>
              <w:left w:val="nil"/>
              <w:bottom w:val="nil"/>
              <w:right w:val="nil"/>
            </w:tcBorders>
            <w:shd w:val="clear" w:color="auto" w:fill="auto"/>
            <w:vAlign w:val="center"/>
          </w:tcPr>
          <w:p>
            <w:pPr>
              <w:rPr>
                <w:rFonts w:hint="eastAsia" w:ascii="宋体" w:hAnsi="宋体" w:eastAsia="宋体" w:cs="宋体"/>
                <w:i w:val="0"/>
                <w:iCs w:val="0"/>
                <w:color w:val="C0C0C0"/>
                <w:sz w:val="18"/>
                <w:szCs w:val="18"/>
                <w:u w:val="none"/>
              </w:rPr>
            </w:pPr>
          </w:p>
        </w:tc>
        <w:tc>
          <w:tcPr>
            <w:tcW w:w="268" w:type="pct"/>
            <w:tcBorders>
              <w:top w:val="nil"/>
              <w:left w:val="nil"/>
              <w:bottom w:val="nil"/>
              <w:right w:val="nil"/>
            </w:tcBorders>
            <w:shd w:val="clear" w:color="auto" w:fill="auto"/>
            <w:vAlign w:val="center"/>
          </w:tcPr>
          <w:p>
            <w:pPr>
              <w:rPr>
                <w:rFonts w:hint="eastAsia" w:ascii="宋体" w:hAnsi="宋体" w:eastAsia="宋体" w:cs="宋体"/>
                <w:i w:val="0"/>
                <w:iCs w:val="0"/>
                <w:color w:val="C0C0C0"/>
                <w:sz w:val="18"/>
                <w:szCs w:val="18"/>
                <w:u w:val="none"/>
              </w:rPr>
            </w:pPr>
          </w:p>
        </w:tc>
        <w:tc>
          <w:tcPr>
            <w:tcW w:w="494" w:type="pct"/>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iCs w:val="0"/>
                <w:color w:val="C0C0C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24" w:type="pct"/>
            <w:tcBorders>
              <w:top w:val="single" w:color="FFFFFF" w:sz="4" w:space="0"/>
              <w:left w:val="single" w:color="FFFFFF" w:sz="4" w:space="0"/>
              <w:bottom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4875" w:type="pct"/>
            <w:gridSpan w:val="12"/>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0"/>
                <w:szCs w:val="30"/>
                <w:u w:val="none"/>
              </w:rPr>
            </w:pPr>
            <w:r>
              <w:rPr>
                <w:rFonts w:hint="eastAsia" w:ascii="宋体" w:hAnsi="宋体" w:eastAsia="宋体" w:cs="宋体"/>
                <w:b/>
                <w:bCs/>
                <w:i w:val="0"/>
                <w:iCs w:val="0"/>
                <w:color w:val="000000"/>
                <w:kern w:val="0"/>
                <w:sz w:val="30"/>
                <w:szCs w:val="30"/>
                <w:u w:val="none"/>
                <w:lang w:val="en-US" w:eastAsia="zh-CN" w:bidi="ar"/>
              </w:rPr>
              <w:t>部门预算项目绩效目标表（2024年度）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24" w:type="pct"/>
            <w:tcBorders>
              <w:top w:val="single" w:color="FFFFFF" w:sz="4" w:space="0"/>
              <w:left w:val="single" w:color="FFFFFF" w:sz="4" w:space="0"/>
              <w:bottom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1587" w:type="pct"/>
            <w:gridSpan w:val="4"/>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4" w:type="pct"/>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4" w:type="pct"/>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523" w:type="pct"/>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5" w:type="pct"/>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42" w:type="pct"/>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77" w:type="pct"/>
            <w:gridSpan w:val="3"/>
            <w:tcBorders>
              <w:top w:val="single" w:color="FFFFFF" w:sz="4" w:space="0"/>
              <w:left w:val="single" w:color="FFFFFF" w:sz="4" w:space="0"/>
              <w:bottom w:val="nil"/>
              <w:right w:val="single" w:color="FFFFFF"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24" w:type="pct"/>
            <w:tcBorders>
              <w:top w:val="single" w:color="FFFFFF" w:sz="4" w:space="0"/>
              <w:left w:val="single" w:color="FFFFFF" w:sz="4" w:space="0"/>
              <w:bottom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570" w:type="pct"/>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单位名称</w:t>
            </w:r>
          </w:p>
        </w:tc>
        <w:tc>
          <w:tcPr>
            <w:tcW w:w="359" w:type="pct"/>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341" w:type="pct"/>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预算数</w:t>
            </w:r>
          </w:p>
        </w:tc>
        <w:tc>
          <w:tcPr>
            <w:tcW w:w="315" w:type="pct"/>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年度目标</w:t>
            </w:r>
          </w:p>
        </w:tc>
        <w:tc>
          <w:tcPr>
            <w:tcW w:w="414" w:type="pct"/>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414" w:type="pct"/>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523" w:type="pct"/>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15" w:type="pct"/>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指标性质</w:t>
            </w:r>
          </w:p>
        </w:tc>
        <w:tc>
          <w:tcPr>
            <w:tcW w:w="342" w:type="pct"/>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15" w:type="pct"/>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度量单位</w:t>
            </w:r>
          </w:p>
        </w:tc>
        <w:tc>
          <w:tcPr>
            <w:tcW w:w="268" w:type="pct"/>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权重</w:t>
            </w:r>
          </w:p>
        </w:tc>
        <w:tc>
          <w:tcPr>
            <w:tcW w:w="494" w:type="pct"/>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指标方向性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192-资阳市雁江区商务局本级</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166.60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 w:type="pct"/>
            <w:vMerge w:val="restart"/>
            <w:tcBorders>
              <w:top w:val="single" w:color="FFFFFF" w:sz="4" w:space="0"/>
              <w:left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570" w:type="pct"/>
            <w:vMerge w:val="restart"/>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192-资阳市雁江区商务局本级</w:t>
            </w: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服务业发展引导资金</w:t>
            </w:r>
          </w:p>
        </w:tc>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3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促进服务业高质量发展</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效益指标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可持续发展指标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建立企业入库补助发放机制</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定性</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 w:type="pct"/>
            <w:vMerge w:val="continue"/>
            <w:tcBorders>
              <w:top w:val="single" w:color="FFFFFF" w:sz="4" w:space="0"/>
              <w:left w:val="single" w:color="FFFFFF" w:sz="4" w:space="0"/>
              <w:bottom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满意度指标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服务对象满意度指标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服务业企业</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 w:type="pct"/>
            <w:vMerge w:val="continue"/>
            <w:tcBorders>
              <w:top w:val="single" w:color="FFFFFF" w:sz="4" w:space="0"/>
              <w:left w:val="single" w:color="FFFFFF" w:sz="4" w:space="0"/>
              <w:bottom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产出指标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质量指标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企业补助发放准确率</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 w:type="pct"/>
            <w:vMerge w:val="continue"/>
            <w:tcBorders>
              <w:top w:val="single" w:color="FFFFFF" w:sz="4" w:space="0"/>
              <w:left w:val="single" w:color="FFFFFF" w:sz="4" w:space="0"/>
              <w:bottom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效益指标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社会效益指标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参与创文的 企业数量</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 w:type="pct"/>
            <w:vMerge w:val="continue"/>
            <w:tcBorders>
              <w:top w:val="single" w:color="FFFFFF" w:sz="4" w:space="0"/>
              <w:left w:val="single" w:color="FFFFFF" w:sz="4" w:space="0"/>
              <w:bottom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产出指标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数量指标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当年新增入库企业数</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 w:type="pct"/>
            <w:vMerge w:val="continue"/>
            <w:tcBorders>
              <w:top w:val="single" w:color="FFFFFF" w:sz="4" w:space="0"/>
              <w:left w:val="single" w:color="FFFFFF" w:sz="4" w:space="0"/>
              <w:bottom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效益指标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经济效益指标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服务业增加值增速</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 w:type="pct"/>
            <w:vMerge w:val="continue"/>
            <w:tcBorders>
              <w:top w:val="single" w:color="FFFFFF" w:sz="4" w:space="0"/>
              <w:left w:val="single" w:color="FFFFFF" w:sz="4" w:space="0"/>
              <w:bottom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成本指标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经济成本指标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服务业引导资金总额</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30</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 w:type="pct"/>
            <w:vMerge w:val="continue"/>
            <w:tcBorders>
              <w:top w:val="single" w:color="FFFFFF" w:sz="4" w:space="0"/>
              <w:left w:val="single" w:color="FFFFFF" w:sz="4" w:space="0"/>
              <w:bottom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满意度指标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满意度指标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商场顾客</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 w:type="pct"/>
            <w:vMerge w:val="continue"/>
            <w:tcBorders>
              <w:top w:val="single" w:color="FFFFFF" w:sz="4" w:space="0"/>
              <w:left w:val="single" w:color="FFFFFF" w:sz="4" w:space="0"/>
              <w:bottom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产出指标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时效指标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企业补助发放及时率</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 w:type="pct"/>
            <w:vMerge w:val="continue"/>
            <w:tcBorders>
              <w:top w:val="single" w:color="FFFFFF" w:sz="4" w:space="0"/>
              <w:left w:val="single" w:color="FFFFFF" w:sz="4" w:space="0"/>
              <w:bottom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bookmarkStart w:id="0" w:name="_GoBack"/>
            <w:bookmarkEnd w:id="0"/>
            <w:r>
              <w:rPr>
                <w:rFonts w:ascii="Dialog . plain" w:hAnsi="Dialog . plain" w:eastAsia="Dialog . plain" w:cs="Dialog . plain"/>
                <w:i w:val="0"/>
                <w:iCs w:val="0"/>
                <w:color w:val="000000"/>
                <w:kern w:val="0"/>
                <w:sz w:val="18"/>
                <w:szCs w:val="18"/>
                <w:u w:val="none"/>
                <w:lang w:val="en-US" w:eastAsia="zh-CN" w:bidi="ar"/>
              </w:rPr>
              <w:t>商贸事务运行相关工作经费</w:t>
            </w:r>
          </w:p>
        </w:tc>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136.60</w:t>
            </w:r>
          </w:p>
        </w:tc>
        <w:tc>
          <w:tcPr>
            <w:tcW w:w="3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商贸事务运行相关经费，保障商贸事务各项工作顺利完成</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满意度指标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服务对象满意度指标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临聘人员满意度</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 w:type="pct"/>
            <w:vMerge w:val="continue"/>
            <w:tcBorders>
              <w:top w:val="single" w:color="FFFFFF" w:sz="4" w:space="0"/>
              <w:left w:val="single" w:color="FFFFFF" w:sz="4" w:space="0"/>
              <w:bottom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效益指标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可持续影响指标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聘用人员管理机制</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定性</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 w:type="pct"/>
            <w:vMerge w:val="continue"/>
            <w:tcBorders>
              <w:top w:val="single" w:color="FFFFFF" w:sz="4" w:space="0"/>
              <w:left w:val="single" w:color="FFFFFF" w:sz="4" w:space="0"/>
              <w:bottom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满意度指标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服务对象满意度指标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参展企业满意度达到</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 w:type="pct"/>
            <w:vMerge w:val="continue"/>
            <w:tcBorders>
              <w:top w:val="single" w:color="FFFFFF" w:sz="4" w:space="0"/>
              <w:left w:val="single" w:color="FFFFFF" w:sz="4" w:space="0"/>
              <w:bottom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产出指标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数量指标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参加国际展会次数</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 w:type="pct"/>
            <w:vMerge w:val="continue"/>
            <w:tcBorders>
              <w:top w:val="single" w:color="FFFFFF" w:sz="4" w:space="0"/>
              <w:left w:val="single" w:color="FFFFFF" w:sz="4" w:space="0"/>
              <w:bottom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效益指标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经济效益指标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累计意向成交额</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 w:type="pct"/>
            <w:vMerge w:val="continue"/>
            <w:tcBorders>
              <w:top w:val="single" w:color="FFFFFF" w:sz="4" w:space="0"/>
              <w:left w:val="single" w:color="FFFFFF" w:sz="4" w:space="0"/>
              <w:bottom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产出指标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质量指标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临聘人员发放准确率</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 w:type="pct"/>
            <w:vMerge w:val="continue"/>
            <w:tcBorders>
              <w:top w:val="single" w:color="FFFFFF" w:sz="4" w:space="0"/>
              <w:left w:val="single" w:color="FFFFFF" w:sz="4" w:space="0"/>
              <w:bottom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产出指标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数量指标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参加“川货全国行”次数</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 w:type="pct"/>
            <w:vMerge w:val="continue"/>
            <w:tcBorders>
              <w:top w:val="single" w:color="FFFFFF" w:sz="4" w:space="0"/>
              <w:left w:val="single" w:color="FFFFFF" w:sz="4" w:space="0"/>
              <w:bottom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产出指标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数量指标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参加“川货全国行”企业数</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 w:type="pct"/>
            <w:vMerge w:val="continue"/>
            <w:tcBorders>
              <w:top w:val="single" w:color="FFFFFF" w:sz="4" w:space="0"/>
              <w:left w:val="single" w:color="FFFFFF" w:sz="4" w:space="0"/>
              <w:bottom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产出指标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时效指标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2024年内完成</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 w:type="pct"/>
            <w:vMerge w:val="continue"/>
            <w:tcBorders>
              <w:top w:val="single" w:color="FFFFFF" w:sz="4" w:space="0"/>
              <w:left w:val="single" w:color="FFFFFF" w:sz="4" w:space="0"/>
              <w:bottom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产出指标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数量指标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参加国际展会企业数</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24" w:type="pct"/>
            <w:vMerge w:val="continue"/>
            <w:tcBorders>
              <w:top w:val="single" w:color="FFFFFF" w:sz="4" w:space="0"/>
              <w:left w:val="single" w:color="FFFFFF" w:sz="4" w:space="0"/>
              <w:bottom w:val="single" w:color="FFFFFF" w:sz="4" w:space="0"/>
              <w:right w:val="nil"/>
            </w:tcBorders>
            <w:shd w:val="clear" w:color="auto" w:fill="auto"/>
            <w:vAlign w:val="center"/>
          </w:tcPr>
          <w:p>
            <w:pPr>
              <w:rPr>
                <w:rFonts w:hint="default" w:ascii="Hiragino Sans GB" w:hAnsi="Hiragino Sans GB" w:eastAsia="Hiragino Sans GB" w:cs="Hiragino Sans GB"/>
                <w:i w:val="0"/>
                <w:iCs w:val="0"/>
                <w:color w:val="000000"/>
                <w:sz w:val="18"/>
                <w:szCs w:val="18"/>
                <w:u w:val="none"/>
              </w:rPr>
            </w:pPr>
          </w:p>
        </w:tc>
        <w:tc>
          <w:tcPr>
            <w:tcW w:w="5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成本指标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经济成本指标</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商贸事务运行成本</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Dialog . plain" w:hAnsi="Dialog . plain" w:eastAsia="Dialog . plain" w:cs="Dialog . plain"/>
                <w:i w:val="0"/>
                <w:iCs w:val="0"/>
                <w:color w:val="000000"/>
                <w:kern w:val="0"/>
                <w:sz w:val="18"/>
                <w:szCs w:val="18"/>
                <w:u w:val="none"/>
                <w:lang w:val="en-US" w:eastAsia="zh-CN" w:bidi="ar"/>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136.6</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bl>
    <w:p/>
    <w:p/>
    <w:p/>
    <w:p/>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82"/>
        <w:gridCol w:w="1984"/>
        <w:gridCol w:w="1993"/>
        <w:gridCol w:w="3053"/>
        <w:gridCol w:w="1582"/>
        <w:gridCol w:w="1857"/>
        <w:gridCol w:w="1193"/>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部门整体支出绩效目标表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8"/>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96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303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资阳市雁江区商务局本级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年度部门整体支出预算</w:t>
            </w:r>
          </w:p>
        </w:tc>
        <w:tc>
          <w:tcPr>
            <w:tcW w:w="14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资金总额</w:t>
            </w:r>
          </w:p>
        </w:tc>
        <w:tc>
          <w:tcPr>
            <w:tcW w:w="16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财政拨款</w:t>
            </w:r>
          </w:p>
        </w:tc>
        <w:tc>
          <w:tcPr>
            <w:tcW w:w="14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564.20</w:t>
            </w:r>
          </w:p>
        </w:tc>
        <w:tc>
          <w:tcPr>
            <w:tcW w:w="16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564.20</w:t>
            </w:r>
          </w:p>
        </w:tc>
        <w:tc>
          <w:tcPr>
            <w:tcW w:w="14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4" w:hRule="atLeast"/>
        </w:trPr>
        <w:tc>
          <w:tcPr>
            <w:tcW w:w="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年度总体目标</w:t>
            </w:r>
          </w:p>
        </w:tc>
        <w:tc>
          <w:tcPr>
            <w:tcW w:w="4441"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2024年，拟订国内外贸易、外商投资相关规范性文件和实施细则，制定全区商务发展规划并组织实施，推进流通产业结构调整，加快物流发展，指导贸易促进活动和外贸体系建设，助力雁江商务经济高质量发展。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年度主要任务</w:t>
            </w:r>
          </w:p>
        </w:tc>
        <w:tc>
          <w:tcPr>
            <w:tcW w:w="14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任务名称</w:t>
            </w:r>
          </w:p>
        </w:tc>
        <w:tc>
          <w:tcPr>
            <w:tcW w:w="303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活跃市场促消费</w:t>
            </w:r>
          </w:p>
        </w:tc>
        <w:tc>
          <w:tcPr>
            <w:tcW w:w="303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开展各类促销活动</w:t>
            </w:r>
            <w:r>
              <w:rPr>
                <w:rFonts w:hint="eastAsia" w:ascii="宋体" w:hAnsi="宋体" w:cs="宋体"/>
                <w:i w:val="0"/>
                <w:iCs w:val="0"/>
                <w:color w:val="000000"/>
                <w:kern w:val="0"/>
                <w:sz w:val="18"/>
                <w:szCs w:val="18"/>
                <w:u w:val="none"/>
                <w:lang w:val="en-US" w:eastAsia="zh-CN" w:bidi="ar"/>
              </w:rPr>
              <w:t>3</w:t>
            </w:r>
            <w:r>
              <w:rPr>
                <w:rFonts w:ascii="宋体" w:hAnsi="宋体" w:eastAsia="宋体" w:cs="宋体"/>
                <w:i w:val="0"/>
                <w:iCs w:val="0"/>
                <w:color w:val="000000"/>
                <w:kern w:val="0"/>
                <w:sz w:val="18"/>
                <w:szCs w:val="18"/>
                <w:u w:val="none"/>
                <w:lang w:val="en-US" w:eastAsia="zh-CN" w:bidi="ar"/>
              </w:rPr>
              <w:t>0场以上、组织国、省市场拓展活动10场以上。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优化营商扩开放</w:t>
            </w:r>
          </w:p>
        </w:tc>
        <w:tc>
          <w:tcPr>
            <w:tcW w:w="303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组织企业参加荷兰农艺博览会、广交会、东盟博览会、欧洽会等国际展会：便利外贸企业开展跨境贸易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聚焦高质量发展</w:t>
            </w:r>
          </w:p>
        </w:tc>
        <w:tc>
          <w:tcPr>
            <w:tcW w:w="303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实施重点企业、重点品牌培育计划，开展小微企业培育。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年度绩效指标</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绩效指标性质</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绩效指标值</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绩效度量单位</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7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参展企业户数</w:t>
            </w:r>
          </w:p>
        </w:tc>
        <w:tc>
          <w:tcPr>
            <w:tcW w:w="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户</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社会消费品零售总额增速</w:t>
            </w:r>
          </w:p>
        </w:tc>
        <w:tc>
          <w:tcPr>
            <w:tcW w:w="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进出口金额</w:t>
            </w:r>
          </w:p>
        </w:tc>
        <w:tc>
          <w:tcPr>
            <w:tcW w:w="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亿元</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入围企业</w:t>
            </w:r>
          </w:p>
        </w:tc>
        <w:tc>
          <w:tcPr>
            <w:tcW w:w="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户</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展会签订意向合同金额</w:t>
            </w:r>
          </w:p>
        </w:tc>
        <w:tc>
          <w:tcPr>
            <w:tcW w:w="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社会消费品零售总额增长</w:t>
            </w:r>
          </w:p>
        </w:tc>
        <w:tc>
          <w:tcPr>
            <w:tcW w:w="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1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外贸增长率</w:t>
            </w:r>
          </w:p>
        </w:tc>
        <w:tc>
          <w:tcPr>
            <w:tcW w:w="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企业满意度</w:t>
            </w:r>
          </w:p>
        </w:tc>
        <w:tc>
          <w:tcPr>
            <w:tcW w:w="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经济成本指标</w:t>
            </w:r>
          </w:p>
        </w:tc>
        <w:tc>
          <w:tcPr>
            <w:tcW w:w="10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培育每户企业入库</w:t>
            </w:r>
          </w:p>
        </w:tc>
        <w:tc>
          <w:tcPr>
            <w:tcW w:w="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r>
    </w:tbl>
    <w:p/>
    <w:sectPr>
      <w:pgSz w:w="16838" w:h="11906" w:orient="landscape"/>
      <w:pgMar w:top="1587" w:right="1440" w:bottom="1587" w:left="1440" w:header="851" w:footer="992" w:gutter="0"/>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ialog . plain">
    <w:altName w:val="华文中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Dialog . bold">
    <w:altName w:val="华文中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Hiragino Sans GB">
    <w:altName w:val="华文中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FA8CA6"/>
    <w:multiLevelType w:val="singleLevel"/>
    <w:tmpl w:val="AEFA8CA6"/>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5691C"/>
    <w:rsid w:val="00005EE0"/>
    <w:rsid w:val="000336E7"/>
    <w:rsid w:val="00532C96"/>
    <w:rsid w:val="022C1542"/>
    <w:rsid w:val="06742B29"/>
    <w:rsid w:val="07044B66"/>
    <w:rsid w:val="16666CED"/>
    <w:rsid w:val="187C7703"/>
    <w:rsid w:val="1A565651"/>
    <w:rsid w:val="1B114CEE"/>
    <w:rsid w:val="1C537B4B"/>
    <w:rsid w:val="1DAB0147"/>
    <w:rsid w:val="1DBF0782"/>
    <w:rsid w:val="2141325B"/>
    <w:rsid w:val="262D1FF4"/>
    <w:rsid w:val="2D3B3833"/>
    <w:rsid w:val="2F36778B"/>
    <w:rsid w:val="30991BB1"/>
    <w:rsid w:val="313C5DFF"/>
    <w:rsid w:val="329414A3"/>
    <w:rsid w:val="347C165A"/>
    <w:rsid w:val="3B6220D9"/>
    <w:rsid w:val="3C991E71"/>
    <w:rsid w:val="41E5691C"/>
    <w:rsid w:val="4413639C"/>
    <w:rsid w:val="48B118E2"/>
    <w:rsid w:val="4E334E87"/>
    <w:rsid w:val="5167193B"/>
    <w:rsid w:val="53E037F6"/>
    <w:rsid w:val="543C2223"/>
    <w:rsid w:val="5ADD71A9"/>
    <w:rsid w:val="5DBF2492"/>
    <w:rsid w:val="60814F21"/>
    <w:rsid w:val="66453062"/>
    <w:rsid w:val="69407B3C"/>
    <w:rsid w:val="69B610CC"/>
    <w:rsid w:val="6B8110DE"/>
    <w:rsid w:val="6BC95828"/>
    <w:rsid w:val="6D7A1665"/>
    <w:rsid w:val="6EF24A01"/>
    <w:rsid w:val="6F9F047A"/>
    <w:rsid w:val="71350C1B"/>
    <w:rsid w:val="74F07F31"/>
    <w:rsid w:val="77B5F0FE"/>
    <w:rsid w:val="7A4B16FE"/>
    <w:rsid w:val="7BDBF5DE"/>
    <w:rsid w:val="7DF7DFB9"/>
    <w:rsid w:val="7E70C8D1"/>
    <w:rsid w:val="7F9F32AA"/>
    <w:rsid w:val="9EBFC03C"/>
    <w:rsid w:val="CDEE8ECA"/>
    <w:rsid w:val="D4363336"/>
    <w:rsid w:val="EFFE7EB8"/>
    <w:rsid w:val="F6BC4FDB"/>
    <w:rsid w:val="F7ADA3FF"/>
    <w:rsid w:val="FFBBF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hAnsi="Times New Roman" w:eastAsia="仿宋_GB2312"/>
      <w:kern w:val="0"/>
      <w:sz w:val="24"/>
      <w:szCs w:val="20"/>
    </w:rPr>
  </w:style>
  <w:style w:type="paragraph" w:styleId="3">
    <w:name w:val="footer"/>
    <w:basedOn w:val="1"/>
    <w:qFormat/>
    <w:uiPriority w:val="99"/>
    <w:pPr>
      <w:tabs>
        <w:tab w:val="center" w:pos="4153"/>
        <w:tab w:val="right" w:pos="8306"/>
      </w:tabs>
      <w:snapToGrid w:val="0"/>
      <w:jc w:val="left"/>
    </w:pPr>
    <w:rPr>
      <w:sz w:val="18"/>
      <w:szCs w:val="18"/>
    </w:rPr>
  </w:style>
  <w:style w:type="paragraph" w:customStyle="1" w:styleId="6">
    <w:name w:val="UserStyle_0"/>
    <w:qFormat/>
    <w:uiPriority w:val="0"/>
    <w:pPr>
      <w:widowControl/>
      <w:suppressAutoHyphens w:val="0"/>
      <w:bidi w:val="0"/>
      <w:jc w:val="both"/>
    </w:pPr>
    <w:rPr>
      <w:rFonts w:ascii="Times New Roman" w:hAnsi="Times New Roman" w:eastAsia="宋体" w:cs="Times New Roman"/>
      <w:color w:val="auto"/>
      <w:kern w:val="0"/>
      <w:sz w:val="24"/>
      <w:szCs w:val="24"/>
      <w:lang w:val="en-US" w:eastAsia="zh-CN" w:bidi="ar-SA"/>
    </w:rPr>
  </w:style>
  <w:style w:type="character" w:customStyle="1" w:styleId="7">
    <w:name w:val="font11"/>
    <w:basedOn w:val="5"/>
    <w:qFormat/>
    <w:uiPriority w:val="0"/>
    <w:rPr>
      <w:rFonts w:ascii="Dialog . plain" w:hAnsi="Dialog . plain" w:eastAsia="Dialog . plain" w:cs="Dialog . plain"/>
      <w:color w:val="000000"/>
      <w:sz w:val="22"/>
      <w:szCs w:val="22"/>
      <w:u w:val="none"/>
    </w:rPr>
  </w:style>
  <w:style w:type="character" w:customStyle="1" w:styleId="8">
    <w:name w:val="font01"/>
    <w:basedOn w:val="5"/>
    <w:qFormat/>
    <w:uiPriority w:val="0"/>
    <w:rPr>
      <w:rFonts w:ascii="Dialog . bold" w:hAnsi="Dialog . bold" w:eastAsia="Dialog . bold" w:cs="Dialog . bold"/>
      <w:b/>
      <w:bCs/>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2024-01-18T10:07:00Z</dcterms:created>
  <dc:creator>莫雯</dc:creator>
  <cp:lastModifiedBy>asus</cp:lastModifiedBy>
  <cp:lastPrinted>2024-01-25T00:51:00Z</cp:lastPrinted>
  <dcterms:modified xsi:type="dcterms:W3CDTF">2024-01-25T09:46:07Z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0417F05A9B09255B6282B065E2A4D7FB</vt:lpwstr>
  </property>
</Properties>
</file>